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磁力锁</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16A341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121C920">
      <w:pPr>
        <w:pStyle w:val="15"/>
        <w:rPr>
          <w:rFonts w:hint="eastAsia"/>
        </w:rPr>
        <w:sectPr>
          <w:pgSz w:w="11906" w:h="16838"/>
          <w:pgMar w:top="1440" w:right="1800" w:bottom="1440" w:left="1800" w:header="851" w:footer="992" w:gutter="0"/>
          <w:cols w:space="425" w:num="1"/>
          <w:docGrid w:type="lines" w:linePitch="312" w:charSpace="0"/>
        </w:sectPr>
      </w:pPr>
    </w:p>
    <w:p w14:paraId="00C476F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76417C7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2017155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2.4、提供供应商代理证明或原厂授权(原厂直接参与无需提供此项)</w:t>
      </w:r>
    </w:p>
    <w:p w14:paraId="054A46F6">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28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5"/>
        <w:gridCol w:w="1516"/>
        <w:gridCol w:w="3702"/>
        <w:gridCol w:w="965"/>
        <w:gridCol w:w="966"/>
        <w:gridCol w:w="1355"/>
        <w:gridCol w:w="965"/>
        <w:gridCol w:w="1034"/>
        <w:gridCol w:w="1342"/>
      </w:tblGrid>
      <w:tr w14:paraId="2E1C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2810" w:type="dxa"/>
            <w:gridSpan w:val="9"/>
            <w:tcBorders>
              <w:top w:val="nil"/>
              <w:left w:val="nil"/>
              <w:bottom w:val="nil"/>
              <w:right w:val="nil"/>
            </w:tcBorders>
            <w:shd w:val="clear" w:color="auto" w:fill="auto"/>
            <w:vAlign w:val="center"/>
          </w:tcPr>
          <w:p w14:paraId="75BDFD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56FA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ECD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03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7A2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696" w:type="dxa"/>
            <w:gridSpan w:val="4"/>
            <w:tcBorders>
              <w:top w:val="single" w:color="000000" w:sz="4" w:space="0"/>
              <w:left w:val="nil"/>
              <w:bottom w:val="single" w:color="000000" w:sz="4" w:space="0"/>
              <w:right w:val="single" w:color="000000" w:sz="4" w:space="0"/>
            </w:tcBorders>
            <w:shd w:val="clear" w:color="auto" w:fill="auto"/>
            <w:noWrap/>
            <w:vAlign w:val="center"/>
          </w:tcPr>
          <w:p w14:paraId="2BAC5E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2"/>
                <w:szCs w:val="22"/>
                <w:u w:val="none"/>
                <w:lang w:val="en-US" w:eastAsia="zh-CN" w:bidi="ar"/>
              </w:rPr>
              <w:t>必填（盖章）</w:t>
            </w:r>
          </w:p>
        </w:tc>
      </w:tr>
      <w:tr w14:paraId="0A3D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F01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89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2FC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696" w:type="dxa"/>
            <w:gridSpan w:val="4"/>
            <w:tcBorders>
              <w:top w:val="single" w:color="000000" w:sz="4" w:space="0"/>
              <w:left w:val="nil"/>
              <w:bottom w:val="single" w:color="000000" w:sz="4" w:space="0"/>
              <w:right w:val="single" w:color="000000" w:sz="4" w:space="0"/>
            </w:tcBorders>
            <w:shd w:val="clear" w:color="auto" w:fill="auto"/>
            <w:noWrap/>
            <w:vAlign w:val="center"/>
          </w:tcPr>
          <w:p w14:paraId="26D09C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2"/>
                <w:szCs w:val="22"/>
                <w:u w:val="none"/>
                <w:lang w:val="en-US" w:eastAsia="zh-CN" w:bidi="ar"/>
              </w:rPr>
              <w:t>必填</w:t>
            </w:r>
          </w:p>
        </w:tc>
      </w:tr>
      <w:tr w14:paraId="5478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2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6E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A0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B94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696" w:type="dxa"/>
            <w:gridSpan w:val="4"/>
            <w:tcBorders>
              <w:top w:val="single" w:color="000000" w:sz="4" w:space="0"/>
              <w:left w:val="nil"/>
              <w:bottom w:val="single" w:color="000000" w:sz="4" w:space="0"/>
              <w:right w:val="single" w:color="000000" w:sz="4" w:space="0"/>
            </w:tcBorders>
            <w:shd w:val="clear" w:color="auto" w:fill="auto"/>
            <w:noWrap/>
            <w:vAlign w:val="center"/>
          </w:tcPr>
          <w:p w14:paraId="491EF9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2"/>
                <w:szCs w:val="22"/>
                <w:u w:val="none"/>
                <w:lang w:val="en-US" w:eastAsia="zh-CN" w:bidi="ar"/>
              </w:rPr>
              <w:t>必填</w:t>
            </w:r>
          </w:p>
        </w:tc>
      </w:tr>
      <w:tr w14:paraId="6B77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D67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4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A7F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696" w:type="dxa"/>
            <w:gridSpan w:val="4"/>
            <w:tcBorders>
              <w:top w:val="single" w:color="000000" w:sz="4" w:space="0"/>
              <w:left w:val="nil"/>
              <w:bottom w:val="single" w:color="000000" w:sz="4" w:space="0"/>
              <w:right w:val="single" w:color="000000" w:sz="4" w:space="0"/>
            </w:tcBorders>
            <w:shd w:val="clear" w:color="auto" w:fill="auto"/>
            <w:noWrap/>
            <w:vAlign w:val="center"/>
          </w:tcPr>
          <w:p w14:paraId="2AD244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2"/>
                <w:szCs w:val="22"/>
                <w:u w:val="none"/>
                <w:lang w:val="en-US" w:eastAsia="zh-CN" w:bidi="ar"/>
              </w:rPr>
              <w:t>必填</w:t>
            </w:r>
          </w:p>
        </w:tc>
      </w:tr>
      <w:tr w14:paraId="6424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DCA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86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97D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696" w:type="dxa"/>
            <w:gridSpan w:val="4"/>
            <w:tcBorders>
              <w:top w:val="single" w:color="000000" w:sz="4" w:space="0"/>
              <w:left w:val="nil"/>
              <w:bottom w:val="single" w:color="000000" w:sz="4" w:space="0"/>
              <w:right w:val="single" w:color="000000" w:sz="4" w:space="0"/>
            </w:tcBorders>
            <w:shd w:val="clear" w:color="auto" w:fill="auto"/>
            <w:noWrap/>
            <w:vAlign w:val="center"/>
          </w:tcPr>
          <w:p w14:paraId="60F731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2"/>
                <w:szCs w:val="22"/>
                <w:u w:val="none"/>
                <w:lang w:val="en-US" w:eastAsia="zh-CN" w:bidi="ar"/>
              </w:rPr>
              <w:t>必填</w:t>
            </w:r>
          </w:p>
        </w:tc>
      </w:tr>
      <w:tr w14:paraId="322A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E7D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F20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6E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D9D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6" w:type="dxa"/>
            <w:vMerge w:val="restart"/>
            <w:tcBorders>
              <w:top w:val="single" w:color="000000" w:sz="4" w:space="0"/>
              <w:left w:val="single" w:color="000000" w:sz="4" w:space="0"/>
              <w:right w:val="single" w:color="000000" w:sz="4" w:space="0"/>
            </w:tcBorders>
            <w:shd w:val="clear" w:color="auto" w:fill="auto"/>
            <w:vAlign w:val="center"/>
          </w:tcPr>
          <w:p w14:paraId="7FE77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F0C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D75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金额（元）</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5AE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B18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4A6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EFB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077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293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6" w:type="dxa"/>
            <w:vMerge w:val="continue"/>
            <w:tcBorders>
              <w:left w:val="single" w:color="000000" w:sz="4" w:space="0"/>
              <w:bottom w:val="single" w:color="000000" w:sz="4" w:space="0"/>
              <w:right w:val="single" w:color="000000" w:sz="4" w:space="0"/>
            </w:tcBorders>
            <w:shd w:val="clear" w:color="auto" w:fill="auto"/>
            <w:vAlign w:val="center"/>
          </w:tcPr>
          <w:p w14:paraId="4DDB2B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75F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CD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B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CAF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pPr>
          </w:p>
        </w:tc>
      </w:tr>
      <w:tr w14:paraId="2842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7263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40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单门磁力锁280KG</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2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工作电压:DC12V/DC24V；工作电流:500mA/250mA；承受拉力:280KG±10%；材质:高强铝合金；尺寸:锁体：长250.0x宽47.7x厚27.5(mm)；吸板：长180.0x宽38.0x厚11.7(mm)；安全类型:断电开门，带信号反馈</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DC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7D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78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海康、大华、 捷顺、福凯威、安博磊泰</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C7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34" w:type="dxa"/>
            <w:tcBorders>
              <w:top w:val="nil"/>
              <w:left w:val="single" w:color="000000" w:sz="4" w:space="0"/>
              <w:bottom w:val="single" w:color="000000" w:sz="4" w:space="0"/>
              <w:right w:val="single" w:color="000000" w:sz="4" w:space="0"/>
            </w:tcBorders>
            <w:shd w:val="clear" w:color="auto" w:fill="auto"/>
            <w:vAlign w:val="center"/>
          </w:tcPr>
          <w:p w14:paraId="4537FA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42" w:type="dxa"/>
            <w:tcBorders>
              <w:top w:val="nil"/>
              <w:left w:val="single" w:color="000000" w:sz="4" w:space="0"/>
              <w:bottom w:val="single" w:color="000000" w:sz="4" w:space="0"/>
              <w:right w:val="single" w:color="000000" w:sz="4" w:space="0"/>
            </w:tcBorders>
            <w:shd w:val="clear" w:color="auto" w:fill="auto"/>
            <w:vAlign w:val="center"/>
          </w:tcPr>
          <w:p w14:paraId="050797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pPr>
          </w:p>
        </w:tc>
      </w:tr>
      <w:tr w14:paraId="136B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2B9D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6D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双门</w:t>
            </w:r>
            <w:bookmarkStart w:id="0" w:name="_GoBack"/>
            <w:bookmarkEnd w:id="0"/>
            <w:r>
              <w:rPr>
                <w:rFonts w:hint="eastAsia" w:ascii="宋体" w:hAnsi="宋体" w:eastAsia="宋体" w:cs="宋体"/>
                <w:i w:val="0"/>
                <w:iCs w:val="0"/>
                <w:color w:val="000000"/>
                <w:kern w:val="0"/>
                <w:sz w:val="24"/>
                <w:szCs w:val="24"/>
                <w:u w:val="none"/>
                <w:lang w:val="en-US" w:eastAsia="zh-CN" w:bidi="ar"/>
              </w:rPr>
              <w:t>磁力锁280KG</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8C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工作电压:DC12V/DC24V；工作电流:500mA*2/250mA*2；承受拉力：280KG*2±15%；材质:高强铝合金；尺寸:锁体：长500.0x宽47.7x厚27.5(mm)；吸板：长180.0x宽38.0x厚11.7(mm)；安全类型:断电开门，带信号反馈</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52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D6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B7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海康、大华、 捷顺、福凯威、安博磊泰</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92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34" w:type="dxa"/>
            <w:tcBorders>
              <w:top w:val="nil"/>
              <w:left w:val="single" w:color="000000" w:sz="4" w:space="0"/>
              <w:bottom w:val="single" w:color="000000" w:sz="4" w:space="0"/>
              <w:right w:val="single" w:color="000000" w:sz="4" w:space="0"/>
            </w:tcBorders>
            <w:shd w:val="clear" w:color="auto" w:fill="auto"/>
            <w:vAlign w:val="center"/>
          </w:tcPr>
          <w:p w14:paraId="0258C6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42" w:type="dxa"/>
            <w:tcBorders>
              <w:top w:val="nil"/>
              <w:left w:val="single" w:color="000000" w:sz="4" w:space="0"/>
              <w:bottom w:val="single" w:color="000000" w:sz="4" w:space="0"/>
              <w:right w:val="single" w:color="000000" w:sz="4" w:space="0"/>
            </w:tcBorders>
            <w:shd w:val="clear" w:color="auto" w:fill="auto"/>
            <w:vAlign w:val="center"/>
          </w:tcPr>
          <w:p w14:paraId="53019C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pPr>
          </w:p>
        </w:tc>
      </w:tr>
      <w:tr w14:paraId="65C6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C4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p>
        </w:tc>
        <w:tc>
          <w:tcPr>
            <w:tcW w:w="118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FC90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5"/>
                  <wp:cNvGraphicFramePr/>
                  <a:graphic xmlns:a="http://schemas.openxmlformats.org/drawingml/2006/main">
                    <a:graphicData uri="http://schemas.openxmlformats.org/drawingml/2006/picture">
                      <pic:pic xmlns:pic="http://schemas.openxmlformats.org/drawingml/2006/picture">
                        <pic:nvPicPr>
                          <pic:cNvPr id="47"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
                  <wp:cNvGraphicFramePr/>
                  <a:graphic xmlns:a="http://schemas.openxmlformats.org/drawingml/2006/main">
                    <a:graphicData uri="http://schemas.openxmlformats.org/drawingml/2006/picture">
                      <pic:pic xmlns:pic="http://schemas.openxmlformats.org/drawingml/2006/picture">
                        <pic:nvPicPr>
                          <pic:cNvPr id="48"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5_SpCnt_1"/>
                  <wp:cNvGraphicFramePr/>
                  <a:graphic xmlns:a="http://schemas.openxmlformats.org/drawingml/2006/main">
                    <a:graphicData uri="http://schemas.openxmlformats.org/drawingml/2006/picture">
                      <pic:pic xmlns:pic="http://schemas.openxmlformats.org/drawingml/2006/picture">
                        <pic:nvPicPr>
                          <pic:cNvPr id="49" name="Text_Box_5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0" name="Text_Box_9_SpCnt_1"/>
                  <wp:cNvGraphicFramePr/>
                  <a:graphic xmlns:a="http://schemas.openxmlformats.org/drawingml/2006/main">
                    <a:graphicData uri="http://schemas.openxmlformats.org/drawingml/2006/picture">
                      <pic:pic xmlns:pic="http://schemas.openxmlformats.org/drawingml/2006/picture">
                        <pic:nvPicPr>
                          <pic:cNvPr id="50" name="Text_Box_9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1" name="Text_Box_12"/>
                  <wp:cNvGraphicFramePr/>
                  <a:graphic xmlns:a="http://schemas.openxmlformats.org/drawingml/2006/main">
                    <a:graphicData uri="http://schemas.openxmlformats.org/drawingml/2006/picture">
                      <pic:pic xmlns:pic="http://schemas.openxmlformats.org/drawingml/2006/picture">
                        <pic:nvPicPr>
                          <pic:cNvPr id="51" name="Text_Box_1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2" name="Text_Box_10"/>
                  <wp:cNvGraphicFramePr/>
                  <a:graphic xmlns:a="http://schemas.openxmlformats.org/drawingml/2006/main">
                    <a:graphicData uri="http://schemas.openxmlformats.org/drawingml/2006/picture">
                      <pic:pic xmlns:pic="http://schemas.openxmlformats.org/drawingml/2006/picture">
                        <pic:nvPicPr>
                          <pic:cNvPr id="52" name="Text_Box_10"/>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3" name="Text_Box_9_SpCnt_2"/>
                  <wp:cNvGraphicFramePr/>
                  <a:graphic xmlns:a="http://schemas.openxmlformats.org/drawingml/2006/main">
                    <a:graphicData uri="http://schemas.openxmlformats.org/drawingml/2006/picture">
                      <pic:pic xmlns:pic="http://schemas.openxmlformats.org/drawingml/2006/picture">
                        <pic:nvPicPr>
                          <pic:cNvPr id="53" name="Text_Box_9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4" name="Text_Box_7"/>
                  <wp:cNvGraphicFramePr/>
                  <a:graphic xmlns:a="http://schemas.openxmlformats.org/drawingml/2006/main">
                    <a:graphicData uri="http://schemas.openxmlformats.org/drawingml/2006/picture">
                      <pic:pic xmlns:pic="http://schemas.openxmlformats.org/drawingml/2006/picture">
                        <pic:nvPicPr>
                          <pic:cNvPr id="54" name="Text_Box_7"/>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5" name="Text_Box_5_SpCnt_2"/>
                  <wp:cNvGraphicFramePr/>
                  <a:graphic xmlns:a="http://schemas.openxmlformats.org/drawingml/2006/main">
                    <a:graphicData uri="http://schemas.openxmlformats.org/drawingml/2006/picture">
                      <pic:pic xmlns:pic="http://schemas.openxmlformats.org/drawingml/2006/picture">
                        <pic:nvPicPr>
                          <pic:cNvPr id="55" name="Text_Box_5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6" name="Text_Box_14"/>
                  <wp:cNvGraphicFramePr/>
                  <a:graphic xmlns:a="http://schemas.openxmlformats.org/drawingml/2006/main">
                    <a:graphicData uri="http://schemas.openxmlformats.org/drawingml/2006/picture">
                      <pic:pic xmlns:pic="http://schemas.openxmlformats.org/drawingml/2006/picture">
                        <pic:nvPicPr>
                          <pic:cNvPr id="56" name="Text_Box_14"/>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7" name="Text_Box_12_SpCnt_1"/>
                  <wp:cNvGraphicFramePr/>
                  <a:graphic xmlns:a="http://schemas.openxmlformats.org/drawingml/2006/main">
                    <a:graphicData uri="http://schemas.openxmlformats.org/drawingml/2006/picture">
                      <pic:pic xmlns:pic="http://schemas.openxmlformats.org/drawingml/2006/picture">
                        <pic:nvPicPr>
                          <pic:cNvPr id="57" name="Text_Box_12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8" name="Text_Box_7_SpCnt_1"/>
                  <wp:cNvGraphicFramePr/>
                  <a:graphic xmlns:a="http://schemas.openxmlformats.org/drawingml/2006/main">
                    <a:graphicData uri="http://schemas.openxmlformats.org/drawingml/2006/picture">
                      <pic:pic xmlns:pic="http://schemas.openxmlformats.org/drawingml/2006/picture">
                        <pic:nvPicPr>
                          <pic:cNvPr id="58" name="Text_Box_7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9" name="Text_Box_10_SpCnt_1"/>
                  <wp:cNvGraphicFramePr/>
                  <a:graphic xmlns:a="http://schemas.openxmlformats.org/drawingml/2006/main">
                    <a:graphicData uri="http://schemas.openxmlformats.org/drawingml/2006/picture">
                      <pic:pic xmlns:pic="http://schemas.openxmlformats.org/drawingml/2006/picture">
                        <pic:nvPicPr>
                          <pic:cNvPr id="59" name="Text_Box_10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0" name="Text_Box_5_SpCnt_3"/>
                  <wp:cNvGraphicFramePr/>
                  <a:graphic xmlns:a="http://schemas.openxmlformats.org/drawingml/2006/main">
                    <a:graphicData uri="http://schemas.openxmlformats.org/drawingml/2006/picture">
                      <pic:pic xmlns:pic="http://schemas.openxmlformats.org/drawingml/2006/picture">
                        <pic:nvPicPr>
                          <pic:cNvPr id="60" name="Text_Box_5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1" name="Text_Box_14_SpCnt_1"/>
                  <wp:cNvGraphicFramePr/>
                  <a:graphic xmlns:a="http://schemas.openxmlformats.org/drawingml/2006/main">
                    <a:graphicData uri="http://schemas.openxmlformats.org/drawingml/2006/picture">
                      <pic:pic xmlns:pic="http://schemas.openxmlformats.org/drawingml/2006/picture">
                        <pic:nvPicPr>
                          <pic:cNvPr id="61" name="Text_Box_14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2" name="Text_Box_12_SpCnt_2"/>
                  <wp:cNvGraphicFramePr/>
                  <a:graphic xmlns:a="http://schemas.openxmlformats.org/drawingml/2006/main">
                    <a:graphicData uri="http://schemas.openxmlformats.org/drawingml/2006/picture">
                      <pic:pic xmlns:pic="http://schemas.openxmlformats.org/drawingml/2006/picture">
                        <pic:nvPicPr>
                          <pic:cNvPr id="62" name="Text_Box_12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3" name="Text_Box_10_SpCnt_2"/>
                  <wp:cNvGraphicFramePr/>
                  <a:graphic xmlns:a="http://schemas.openxmlformats.org/drawingml/2006/main">
                    <a:graphicData uri="http://schemas.openxmlformats.org/drawingml/2006/picture">
                      <pic:pic xmlns:pic="http://schemas.openxmlformats.org/drawingml/2006/picture">
                        <pic:nvPicPr>
                          <pic:cNvPr id="63" name="Text_Box_10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4" name="Text_Box_9_SpCnt_3"/>
                  <wp:cNvGraphicFramePr/>
                  <a:graphic xmlns:a="http://schemas.openxmlformats.org/drawingml/2006/main">
                    <a:graphicData uri="http://schemas.openxmlformats.org/drawingml/2006/picture">
                      <pic:pic xmlns:pic="http://schemas.openxmlformats.org/drawingml/2006/picture">
                        <pic:nvPicPr>
                          <pic:cNvPr id="64" name="Text_Box_9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5" name="Text_Box_14_SpCnt_2"/>
                  <wp:cNvGraphicFramePr/>
                  <a:graphic xmlns:a="http://schemas.openxmlformats.org/drawingml/2006/main">
                    <a:graphicData uri="http://schemas.openxmlformats.org/drawingml/2006/picture">
                      <pic:pic xmlns:pic="http://schemas.openxmlformats.org/drawingml/2006/picture">
                        <pic:nvPicPr>
                          <pic:cNvPr id="65" name="Text_Box_14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6" name="Text_Box_7_SpCnt_2"/>
                  <wp:cNvGraphicFramePr/>
                  <a:graphic xmlns:a="http://schemas.openxmlformats.org/drawingml/2006/main">
                    <a:graphicData uri="http://schemas.openxmlformats.org/drawingml/2006/picture">
                      <pic:pic xmlns:pic="http://schemas.openxmlformats.org/drawingml/2006/picture">
                        <pic:nvPicPr>
                          <pic:cNvPr id="66" name="Text_Box_7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7" name="Text_Box_12_SpCnt_3"/>
                  <wp:cNvGraphicFramePr/>
                  <a:graphic xmlns:a="http://schemas.openxmlformats.org/drawingml/2006/main">
                    <a:graphicData uri="http://schemas.openxmlformats.org/drawingml/2006/picture">
                      <pic:pic xmlns:pic="http://schemas.openxmlformats.org/drawingml/2006/picture">
                        <pic:nvPicPr>
                          <pic:cNvPr id="67" name="Text_Box_12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8" name="Text_Box_7_SpCnt_3"/>
                  <wp:cNvGraphicFramePr/>
                  <a:graphic xmlns:a="http://schemas.openxmlformats.org/drawingml/2006/main">
                    <a:graphicData uri="http://schemas.openxmlformats.org/drawingml/2006/picture">
                      <pic:pic xmlns:pic="http://schemas.openxmlformats.org/drawingml/2006/picture">
                        <pic:nvPicPr>
                          <pic:cNvPr id="68" name="Text_Box_7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9" name="Text_Box_10_SpCnt_3"/>
                  <wp:cNvGraphicFramePr/>
                  <a:graphic xmlns:a="http://schemas.openxmlformats.org/drawingml/2006/main">
                    <a:graphicData uri="http://schemas.openxmlformats.org/drawingml/2006/picture">
                      <pic:pic xmlns:pic="http://schemas.openxmlformats.org/drawingml/2006/picture">
                        <pic:nvPicPr>
                          <pic:cNvPr id="69" name="Text_Box_10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2A0D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28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17B5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注：以上报价含可抵扣的增值税专用发票、运费、卸货以及安装调试相关服务费用。</w:t>
            </w:r>
          </w:p>
        </w:tc>
      </w:tr>
      <w:tr w14:paraId="209E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2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0E5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D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填“是/否”</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20A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696" w:type="dxa"/>
            <w:gridSpan w:val="4"/>
            <w:tcBorders>
              <w:top w:val="single" w:color="000000" w:sz="4" w:space="0"/>
              <w:left w:val="nil"/>
              <w:bottom w:val="single" w:color="000000" w:sz="4" w:space="0"/>
              <w:right w:val="single" w:color="000000" w:sz="4" w:space="0"/>
            </w:tcBorders>
            <w:shd w:val="clear" w:color="auto" w:fill="auto"/>
            <w:vAlign w:val="center"/>
          </w:tcPr>
          <w:p w14:paraId="15DFBC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填“是/否”</w:t>
            </w:r>
          </w:p>
        </w:tc>
      </w:tr>
      <w:tr w14:paraId="0927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2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8B5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6A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2年</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51F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696" w:type="dxa"/>
            <w:gridSpan w:val="4"/>
            <w:tcBorders>
              <w:top w:val="single" w:color="000000" w:sz="4" w:space="0"/>
              <w:left w:val="nil"/>
              <w:bottom w:val="single" w:color="000000" w:sz="4" w:space="0"/>
              <w:right w:val="single" w:color="000000" w:sz="4" w:space="0"/>
            </w:tcBorders>
            <w:shd w:val="clear" w:color="auto" w:fill="auto"/>
            <w:vAlign w:val="center"/>
          </w:tcPr>
          <w:p w14:paraId="76B55A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13%</w:t>
            </w:r>
          </w:p>
        </w:tc>
      </w:tr>
      <w:tr w14:paraId="54DE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2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202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BE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15天</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C98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696" w:type="dxa"/>
            <w:gridSpan w:val="4"/>
            <w:tcBorders>
              <w:top w:val="single" w:color="000000" w:sz="4" w:space="0"/>
              <w:left w:val="nil"/>
              <w:bottom w:val="single" w:color="000000" w:sz="4" w:space="0"/>
              <w:right w:val="single" w:color="000000" w:sz="4" w:space="0"/>
            </w:tcBorders>
            <w:shd w:val="clear" w:color="auto" w:fill="auto"/>
            <w:vAlign w:val="center"/>
          </w:tcPr>
          <w:p w14:paraId="00909C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0F8AA302">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7BC658F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1F91FD4"/>
    <w:rsid w:val="020D7BB0"/>
    <w:rsid w:val="023D1BA8"/>
    <w:rsid w:val="024B07E7"/>
    <w:rsid w:val="02635986"/>
    <w:rsid w:val="02BD280C"/>
    <w:rsid w:val="02BD7BE0"/>
    <w:rsid w:val="02CD5A6F"/>
    <w:rsid w:val="03626CD0"/>
    <w:rsid w:val="03BB36BB"/>
    <w:rsid w:val="04741F2A"/>
    <w:rsid w:val="058E7D29"/>
    <w:rsid w:val="06E65ABA"/>
    <w:rsid w:val="07CC21FA"/>
    <w:rsid w:val="08193505"/>
    <w:rsid w:val="082F30B8"/>
    <w:rsid w:val="0886108C"/>
    <w:rsid w:val="097C031F"/>
    <w:rsid w:val="09DB488A"/>
    <w:rsid w:val="09FE7C7D"/>
    <w:rsid w:val="0A443009"/>
    <w:rsid w:val="0A831766"/>
    <w:rsid w:val="0A894345"/>
    <w:rsid w:val="0AB97D0F"/>
    <w:rsid w:val="0BC2638F"/>
    <w:rsid w:val="0BDC6B78"/>
    <w:rsid w:val="0C882A07"/>
    <w:rsid w:val="0CD142BE"/>
    <w:rsid w:val="0D681C76"/>
    <w:rsid w:val="0D78696A"/>
    <w:rsid w:val="0DBF30C4"/>
    <w:rsid w:val="0DD96789"/>
    <w:rsid w:val="0F0F7410"/>
    <w:rsid w:val="100159F1"/>
    <w:rsid w:val="10275305"/>
    <w:rsid w:val="10941E2C"/>
    <w:rsid w:val="1106690F"/>
    <w:rsid w:val="11471B69"/>
    <w:rsid w:val="115C3F6A"/>
    <w:rsid w:val="11CC2447"/>
    <w:rsid w:val="11F315DF"/>
    <w:rsid w:val="12BB3C49"/>
    <w:rsid w:val="133B07D3"/>
    <w:rsid w:val="138B678C"/>
    <w:rsid w:val="13A43BC7"/>
    <w:rsid w:val="144B0B25"/>
    <w:rsid w:val="148402F0"/>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E9E7647"/>
    <w:rsid w:val="1F444EB4"/>
    <w:rsid w:val="1F741D8C"/>
    <w:rsid w:val="1FC0011B"/>
    <w:rsid w:val="1FF000D2"/>
    <w:rsid w:val="1FF040AD"/>
    <w:rsid w:val="200C3464"/>
    <w:rsid w:val="20566C4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CA4207"/>
    <w:rsid w:val="29E622D3"/>
    <w:rsid w:val="2A225DF1"/>
    <w:rsid w:val="2A573CED"/>
    <w:rsid w:val="2B394C5B"/>
    <w:rsid w:val="2B6A410E"/>
    <w:rsid w:val="2B9E5DD1"/>
    <w:rsid w:val="2BBD750D"/>
    <w:rsid w:val="2C761843"/>
    <w:rsid w:val="2D4E2C33"/>
    <w:rsid w:val="2DC647A7"/>
    <w:rsid w:val="2E1B2848"/>
    <w:rsid w:val="2E1C17E4"/>
    <w:rsid w:val="2E342253"/>
    <w:rsid w:val="2EA5694F"/>
    <w:rsid w:val="2FA05CF7"/>
    <w:rsid w:val="300D6BCC"/>
    <w:rsid w:val="30246158"/>
    <w:rsid w:val="30A001AC"/>
    <w:rsid w:val="31140310"/>
    <w:rsid w:val="313703D4"/>
    <w:rsid w:val="318F1FBE"/>
    <w:rsid w:val="33230EA1"/>
    <w:rsid w:val="337A506E"/>
    <w:rsid w:val="339B7C29"/>
    <w:rsid w:val="345319C9"/>
    <w:rsid w:val="34806859"/>
    <w:rsid w:val="355F7307"/>
    <w:rsid w:val="362D741D"/>
    <w:rsid w:val="37A7439E"/>
    <w:rsid w:val="37CA2BC5"/>
    <w:rsid w:val="37F03342"/>
    <w:rsid w:val="38544E55"/>
    <w:rsid w:val="39064FC8"/>
    <w:rsid w:val="39963E4D"/>
    <w:rsid w:val="3A2C48CD"/>
    <w:rsid w:val="3A491A2A"/>
    <w:rsid w:val="3AAB598F"/>
    <w:rsid w:val="3B0F7CBC"/>
    <w:rsid w:val="3B275F4B"/>
    <w:rsid w:val="3B36794F"/>
    <w:rsid w:val="3D2363DE"/>
    <w:rsid w:val="3DA64A40"/>
    <w:rsid w:val="3E015FF2"/>
    <w:rsid w:val="3E4F32EC"/>
    <w:rsid w:val="3E5157CB"/>
    <w:rsid w:val="3E6D1EE0"/>
    <w:rsid w:val="40130CAF"/>
    <w:rsid w:val="40490B34"/>
    <w:rsid w:val="420E65EA"/>
    <w:rsid w:val="421050D4"/>
    <w:rsid w:val="42A9416B"/>
    <w:rsid w:val="42BF1B92"/>
    <w:rsid w:val="4300637D"/>
    <w:rsid w:val="435E2995"/>
    <w:rsid w:val="4380190E"/>
    <w:rsid w:val="43966372"/>
    <w:rsid w:val="44EF43A5"/>
    <w:rsid w:val="46AE2EAA"/>
    <w:rsid w:val="46C358A8"/>
    <w:rsid w:val="46CC73B9"/>
    <w:rsid w:val="477060B2"/>
    <w:rsid w:val="47D32116"/>
    <w:rsid w:val="48116822"/>
    <w:rsid w:val="481E471E"/>
    <w:rsid w:val="4831522D"/>
    <w:rsid w:val="48832749"/>
    <w:rsid w:val="48E67528"/>
    <w:rsid w:val="493C6A78"/>
    <w:rsid w:val="49AB2DE5"/>
    <w:rsid w:val="4A0D21C2"/>
    <w:rsid w:val="4A0E06F8"/>
    <w:rsid w:val="4A995804"/>
    <w:rsid w:val="4B1A7BD1"/>
    <w:rsid w:val="4BB038DA"/>
    <w:rsid w:val="4C73767A"/>
    <w:rsid w:val="4D030046"/>
    <w:rsid w:val="4D871781"/>
    <w:rsid w:val="4E802F1D"/>
    <w:rsid w:val="4EF042FA"/>
    <w:rsid w:val="4F1C1B57"/>
    <w:rsid w:val="4FAF448B"/>
    <w:rsid w:val="50417986"/>
    <w:rsid w:val="50C10961"/>
    <w:rsid w:val="50F73FA0"/>
    <w:rsid w:val="51544BCC"/>
    <w:rsid w:val="515E18DF"/>
    <w:rsid w:val="51765D9A"/>
    <w:rsid w:val="517D0941"/>
    <w:rsid w:val="51CE2237"/>
    <w:rsid w:val="521C7398"/>
    <w:rsid w:val="52446C35"/>
    <w:rsid w:val="527E16D3"/>
    <w:rsid w:val="528B2778"/>
    <w:rsid w:val="52C14E18"/>
    <w:rsid w:val="5316709E"/>
    <w:rsid w:val="534B7B17"/>
    <w:rsid w:val="540E2DBF"/>
    <w:rsid w:val="54B57C0A"/>
    <w:rsid w:val="55DF4A13"/>
    <w:rsid w:val="55FF6B96"/>
    <w:rsid w:val="56E07198"/>
    <w:rsid w:val="57221F02"/>
    <w:rsid w:val="57960F83"/>
    <w:rsid w:val="57DB3B40"/>
    <w:rsid w:val="58733762"/>
    <w:rsid w:val="58A15BF6"/>
    <w:rsid w:val="58DA37D1"/>
    <w:rsid w:val="590772D6"/>
    <w:rsid w:val="597E69B0"/>
    <w:rsid w:val="59D75C73"/>
    <w:rsid w:val="5AA4447D"/>
    <w:rsid w:val="5B4377F2"/>
    <w:rsid w:val="5B9938B6"/>
    <w:rsid w:val="5BBF6D32"/>
    <w:rsid w:val="5C02364F"/>
    <w:rsid w:val="5C4A6C71"/>
    <w:rsid w:val="5CA61E20"/>
    <w:rsid w:val="5CB94064"/>
    <w:rsid w:val="5D9E05A7"/>
    <w:rsid w:val="5DF96E76"/>
    <w:rsid w:val="5DFE3DF5"/>
    <w:rsid w:val="5E0F059C"/>
    <w:rsid w:val="5E385608"/>
    <w:rsid w:val="5EB9237C"/>
    <w:rsid w:val="5F0458F0"/>
    <w:rsid w:val="5FE226DD"/>
    <w:rsid w:val="5FEE497A"/>
    <w:rsid w:val="60C33852"/>
    <w:rsid w:val="61547E11"/>
    <w:rsid w:val="61852A60"/>
    <w:rsid w:val="62567581"/>
    <w:rsid w:val="631F4682"/>
    <w:rsid w:val="63D4721D"/>
    <w:rsid w:val="640673E3"/>
    <w:rsid w:val="640F17B5"/>
    <w:rsid w:val="64467711"/>
    <w:rsid w:val="64722EF6"/>
    <w:rsid w:val="64E752C4"/>
    <w:rsid w:val="656C5B7B"/>
    <w:rsid w:val="65DA0DD4"/>
    <w:rsid w:val="65F729C7"/>
    <w:rsid w:val="666F593F"/>
    <w:rsid w:val="66934D57"/>
    <w:rsid w:val="66A27154"/>
    <w:rsid w:val="66A80E51"/>
    <w:rsid w:val="677551D7"/>
    <w:rsid w:val="67E31F8B"/>
    <w:rsid w:val="68577F92"/>
    <w:rsid w:val="6893661A"/>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EC42E8"/>
    <w:rsid w:val="71F66174"/>
    <w:rsid w:val="7239784B"/>
    <w:rsid w:val="72C34258"/>
    <w:rsid w:val="73CE218C"/>
    <w:rsid w:val="74396181"/>
    <w:rsid w:val="74AA472D"/>
    <w:rsid w:val="74FB2A94"/>
    <w:rsid w:val="768165E1"/>
    <w:rsid w:val="776C3E86"/>
    <w:rsid w:val="79DA1D09"/>
    <w:rsid w:val="7A182199"/>
    <w:rsid w:val="7A31327F"/>
    <w:rsid w:val="7A644061"/>
    <w:rsid w:val="7AE1770B"/>
    <w:rsid w:val="7B114A31"/>
    <w:rsid w:val="7C5231FC"/>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4143</Words>
  <Characters>4349</Characters>
  <Lines>0</Lines>
  <Paragraphs>0</Paragraphs>
  <TotalTime>12</TotalTime>
  <ScaleCrop>false</ScaleCrop>
  <LinksUpToDate>false</LinksUpToDate>
  <CharactersWithSpaces>5034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2025-09-25T02:16:00Z</cp:lastPrinted>
  <dcterms:modified xsi:type="dcterms:W3CDTF">2026-06-22T06:54:28Z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BAF24CDA33734636B5234E3A5BCE5C14_13</vt:lpwstr>
  </property>
  <property fmtid="{D5CDD505-2E9C-101B-9397-08002B2CF9AE}" pid="4" name="KSOTemplateDocerSaveRecord">
    <vt:lpwstr>eyJoZGlkIjoiODQxOGI3YmU3NTI5MzUwZjkwOWVjODQ3NGEwZTRmNzciLCJ1c2VySWQiOiI2OTk3Mjg4NzkifQ==</vt:lpwstr>
  </property>
</Properties>
</file>