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eastAsia="宋体" w:cs="宋体"/>
          <w:b/>
          <w:i w:val="0"/>
          <w:iCs w:val="0"/>
          <w:color w:val="000000"/>
          <w:kern w:val="0"/>
          <w:sz w:val="48"/>
          <w:szCs w:val="48"/>
          <w:u w:val="none"/>
          <w:lang w:val="en-US" w:eastAsia="zh-CN" w:bidi="ar"/>
        </w:rPr>
        <w:t>KTV系统设备</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91E374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8DC2E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03E1B578">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04905235">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2.4、卡拉ok系统设备</w:t>
      </w:r>
      <w:r>
        <w:rPr>
          <w:rFonts w:hint="eastAsia" w:ascii="仿宋" w:hAnsi="仿宋" w:eastAsia="仿宋" w:cs="仿宋"/>
          <w:b/>
          <w:bCs/>
          <w:kern w:val="2"/>
          <w:sz w:val="28"/>
          <w:szCs w:val="28"/>
          <w:lang w:val="en-US" w:eastAsia="zh-CN" w:bidi="ar-SA"/>
        </w:rPr>
        <w:t>提供供应商代理证明或原厂授权。（加盖公章）</w:t>
      </w:r>
    </w:p>
    <w:tbl>
      <w:tblPr>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67"/>
        <w:gridCol w:w="1684"/>
        <w:gridCol w:w="4096"/>
        <w:gridCol w:w="1067"/>
        <w:gridCol w:w="1067"/>
        <w:gridCol w:w="1656"/>
        <w:gridCol w:w="1067"/>
        <w:gridCol w:w="1141"/>
        <w:gridCol w:w="1480"/>
      </w:tblGrid>
      <w:tr w14:paraId="22661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4325" w:type="dxa"/>
            <w:gridSpan w:val="9"/>
            <w:tcBorders>
              <w:top w:val="nil"/>
              <w:left w:val="nil"/>
              <w:bottom w:val="nil"/>
              <w:right w:val="nil"/>
            </w:tcBorders>
            <w:shd w:val="clear"/>
            <w:vAlign w:val="center"/>
          </w:tcPr>
          <w:p w14:paraId="3ECF4F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bdr w:val="none" w:color="auto" w:sz="0" w:space="0"/>
                <w:lang w:val="en-US" w:eastAsia="zh-CN" w:bidi="ar"/>
              </w:rPr>
              <w:t>三、清单报价表</w:t>
            </w:r>
          </w:p>
        </w:tc>
      </w:tr>
      <w:tr w14:paraId="3BA31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794ED0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询价单位</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76AD05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江苏省淮安市保安服务有限公司</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4A163A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报价单位</w:t>
            </w:r>
          </w:p>
        </w:tc>
        <w:tc>
          <w:tcPr>
            <w:tcW w:w="5250" w:type="dxa"/>
            <w:gridSpan w:val="4"/>
            <w:tcBorders>
              <w:top w:val="single" w:color="000000" w:sz="4" w:space="0"/>
              <w:left w:val="nil"/>
              <w:bottom w:val="single" w:color="000000" w:sz="4" w:space="0"/>
              <w:right w:val="single" w:color="000000" w:sz="4" w:space="0"/>
            </w:tcBorders>
            <w:shd w:val="clear"/>
            <w:vAlign w:val="center"/>
          </w:tcPr>
          <w:p w14:paraId="7DFD95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必填（盖章）</w:t>
            </w:r>
          </w:p>
        </w:tc>
      </w:tr>
      <w:tr w14:paraId="0E12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17F4B5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联系人</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3F07A2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0E54A2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法定代表人或授权委托人</w:t>
            </w:r>
          </w:p>
        </w:tc>
        <w:tc>
          <w:tcPr>
            <w:tcW w:w="5250" w:type="dxa"/>
            <w:gridSpan w:val="4"/>
            <w:tcBorders>
              <w:top w:val="single" w:color="000000" w:sz="4" w:space="0"/>
              <w:left w:val="nil"/>
              <w:bottom w:val="single" w:color="000000" w:sz="4" w:space="0"/>
              <w:right w:val="single" w:color="000000" w:sz="4" w:space="0"/>
            </w:tcBorders>
            <w:shd w:val="clear"/>
            <w:vAlign w:val="center"/>
          </w:tcPr>
          <w:p w14:paraId="42FA31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16C8D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26ECA8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电话</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5961EA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07B3B2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电话</w:t>
            </w:r>
          </w:p>
        </w:tc>
        <w:tc>
          <w:tcPr>
            <w:tcW w:w="5250" w:type="dxa"/>
            <w:gridSpan w:val="4"/>
            <w:tcBorders>
              <w:top w:val="single" w:color="000000" w:sz="4" w:space="0"/>
              <w:left w:val="nil"/>
              <w:bottom w:val="single" w:color="000000" w:sz="4" w:space="0"/>
              <w:right w:val="single" w:color="000000" w:sz="4" w:space="0"/>
            </w:tcBorders>
            <w:shd w:val="clear"/>
            <w:vAlign w:val="center"/>
          </w:tcPr>
          <w:p w14:paraId="5E4499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27BA2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5F4D83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邮箱</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63FA84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bdr w:val="none" w:color="auto" w:sz="0" w:space="0"/>
                <w:lang w:val="en-US" w:eastAsia="zh-CN" w:bidi="ar"/>
              </w:rPr>
              <w:t>HABAccb@163.com</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1DE39E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邮箱</w:t>
            </w:r>
          </w:p>
        </w:tc>
        <w:tc>
          <w:tcPr>
            <w:tcW w:w="5250" w:type="dxa"/>
            <w:gridSpan w:val="4"/>
            <w:tcBorders>
              <w:top w:val="single" w:color="000000" w:sz="4" w:space="0"/>
              <w:left w:val="nil"/>
              <w:bottom w:val="single" w:color="000000" w:sz="4" w:space="0"/>
              <w:right w:val="single" w:color="000000" w:sz="4" w:space="0"/>
            </w:tcBorders>
            <w:shd w:val="clear"/>
            <w:vAlign w:val="center"/>
          </w:tcPr>
          <w:p w14:paraId="7444CC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1EE63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268B677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26AB1B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32FF06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报价日期</w:t>
            </w:r>
          </w:p>
        </w:tc>
        <w:tc>
          <w:tcPr>
            <w:tcW w:w="5250" w:type="dxa"/>
            <w:gridSpan w:val="4"/>
            <w:tcBorders>
              <w:top w:val="single" w:color="000000" w:sz="4" w:space="0"/>
              <w:left w:val="nil"/>
              <w:bottom w:val="single" w:color="000000" w:sz="4" w:space="0"/>
              <w:right w:val="single" w:color="000000" w:sz="4" w:space="0"/>
            </w:tcBorders>
            <w:shd w:val="clear"/>
            <w:vAlign w:val="center"/>
          </w:tcPr>
          <w:p w14:paraId="6A1B64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7D47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F1BA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6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8667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41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D9036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技术参数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D521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1553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15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E41A0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品牌型号</w:t>
            </w:r>
          </w:p>
        </w:tc>
        <w:tc>
          <w:tcPr>
            <w:tcW w:w="2235" w:type="dxa"/>
            <w:gridSpan w:val="2"/>
            <w:tcBorders>
              <w:top w:val="single" w:color="000000" w:sz="4" w:space="0"/>
              <w:left w:val="single" w:color="000000" w:sz="4" w:space="0"/>
              <w:bottom w:val="single" w:color="000000" w:sz="4" w:space="0"/>
              <w:right w:val="single" w:color="000000" w:sz="4" w:space="0"/>
            </w:tcBorders>
            <w:shd w:val="clear"/>
            <w:vAlign w:val="center"/>
          </w:tcPr>
          <w:p w14:paraId="6A0139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金额（元）</w:t>
            </w:r>
          </w:p>
        </w:tc>
        <w:tc>
          <w:tcPr>
            <w:tcW w:w="15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2F1EC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14:paraId="5BABC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EB3B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0B0C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33C0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3A55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2BC73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352E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929A5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单价</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2C9B9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合价</w:t>
            </w:r>
          </w:p>
        </w:tc>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38DA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B908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nil"/>
              <w:right w:val="single" w:color="000000" w:sz="4" w:space="0"/>
            </w:tcBorders>
            <w:shd w:val="clear"/>
            <w:vAlign w:val="center"/>
          </w:tcPr>
          <w:p w14:paraId="43B2C3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一</w:t>
            </w:r>
          </w:p>
        </w:tc>
        <w:tc>
          <w:tcPr>
            <w:tcW w:w="1695" w:type="dxa"/>
            <w:tcBorders>
              <w:top w:val="single" w:color="000000" w:sz="4" w:space="0"/>
              <w:left w:val="single" w:color="000000" w:sz="4" w:space="0"/>
              <w:bottom w:val="nil"/>
              <w:right w:val="single" w:color="000000" w:sz="4" w:space="0"/>
            </w:tcBorders>
            <w:shd w:val="clear"/>
            <w:vAlign w:val="center"/>
          </w:tcPr>
          <w:p w14:paraId="23231D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卡拉OK系统</w:t>
            </w:r>
          </w:p>
        </w:tc>
        <w:tc>
          <w:tcPr>
            <w:tcW w:w="4140" w:type="dxa"/>
            <w:tcBorders>
              <w:top w:val="single" w:color="000000" w:sz="4" w:space="0"/>
              <w:left w:val="single" w:color="000000" w:sz="4" w:space="0"/>
              <w:bottom w:val="nil"/>
              <w:right w:val="single" w:color="000000" w:sz="4" w:space="0"/>
            </w:tcBorders>
            <w:shd w:val="clear"/>
            <w:vAlign w:val="center"/>
          </w:tcPr>
          <w:p w14:paraId="5A14C7C7">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nil"/>
              <w:right w:val="single" w:color="000000" w:sz="4" w:space="0"/>
            </w:tcBorders>
            <w:shd w:val="clear"/>
            <w:vAlign w:val="center"/>
          </w:tcPr>
          <w:p w14:paraId="4B5C49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noWrap/>
            <w:vAlign w:val="center"/>
          </w:tcPr>
          <w:p w14:paraId="38501A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FF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4629A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33072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DEF1F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46124C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0931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63500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6FF0EF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专业娱乐主音箱</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6452CD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1、驱动单元：不小于10英寸</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2、频率响应：不劣于85 Hz-18 kHz</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3、灵敏度：不小于94 dB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4、最大声压级：不小于125 dB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5、覆盖范围：不小于70°×100°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13AD9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128D8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F3E51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JBL,MTS10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66B5C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44507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729B4C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4DDD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2D0DA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0BBF1F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专业娱乐主音箱功放</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3DACCD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 欧姆立体声（每通道）：不小于800瓦</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2、8 欧姆立体声（每通道）：不小于600瓦</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3、频率响应（1W）：20赫兹-20赫兹</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4、总谐波失真 (THD)：&lt; 0.5%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3EEE3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C6212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719F9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JBL,V6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6A2BE7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DCC4E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00FD37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5A8D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92DF7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4F9093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有源超低音箱</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628079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1、有源15英寸低音</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2、最大声压级：不小于128dB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3、频率响应：不劣于45Hz-103Hz</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4、额定功率：不小于1000W</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D6FF1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543F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E38EC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JBL,IRX115S</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45E50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93087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430EDA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36C7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C9885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1A1049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卡拉OK前级</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52A406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1、麦克风输入A/B通道独立可调</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2、麦克风具备15段参量均衡器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3、音乐具备8段参量均衡器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4、六通道信号输出独立EQ可调</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5、10 组用户自定义预设和5组工厂预设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1A129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1247C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DDECD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JBL,KMP1000S</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97ABC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04CD6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689589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DCE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0FD6A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0E2CCB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无线接收机</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1E29E2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ABA82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5DBF6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E2596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E5641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574F8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521FBA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379F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03839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4FCB42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一拖二无线手持话筒</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07B84D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一拖二，无线话筒，K歌专用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681F0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38054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nil"/>
              <w:left w:val="nil"/>
              <w:bottom w:val="nil"/>
              <w:right w:val="nil"/>
            </w:tcBorders>
            <w:shd w:val="clear"/>
            <w:noWrap/>
            <w:vAlign w:val="center"/>
          </w:tcPr>
          <w:p w14:paraId="7FC14E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JBL,VM300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75AC6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C7647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72E428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DA0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CA07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19A2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视频系统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8327A0">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B70BA5">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A80AD9">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b/>
                <w:bCs/>
                <w:i w:val="0"/>
                <w:iCs w:val="0"/>
                <w:color w:val="FF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3719F0">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38408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A0477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1BE431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AADD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5413F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44F9CF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100英寸电视机</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2ED2AF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屏幕尺寸：100英寸；</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分辨率：4K；</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屏幕比例：16:9；</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屏幕亮度：≥2000cd/㎡。</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F2FB5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F75C7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AAED2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REDMI，L100RA-MAXE</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9D9C1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C1E1C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06E0DF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3341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46C78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7D01FD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电视机壁架</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073DD2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100寸电视机安装壁架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5F1CD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付</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0403E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C01A1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8B1D9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BB49E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19C018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65A7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615DF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6CF907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硬盘播放器</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2A5C3A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4KHDR网络高清播放机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标配+4T硬盘</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1DA3F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7F7AE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0CF91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海美迪，HD940B</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3D2A6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9F190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7C72CF1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3C20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D058E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三</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7850B5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点歌系统</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69F864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E52FD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E92A8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FF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C06FB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2EDD8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D7A50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74A055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6310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5E499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583BE7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3T点歌主机</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52E403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1、CPU：四核Cortex a7</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2、显示：VGA+HDMI或VGA+CVBS（双屏异显）</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3、不小于21.5寸电容屏，3T硬盘</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F96F5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EE12F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2A9CB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视易，K68D</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C9009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D2AEC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3B2F8F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7B32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DB94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四</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5F4C81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附件材料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9B2E6F">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D49517">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9AA236">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b/>
                <w:bCs/>
                <w:i w:val="0"/>
                <w:iCs w:val="0"/>
                <w:color w:val="FF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731B93">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CF215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8B5DA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0B1732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7CC8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114C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18B300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电源管理器</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7AE458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1、8路电源时序控制，每路延时1秒</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2、整机容量50A</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3、每路输出采用万能插座AC220V</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4、具有标准RS232串口控制功能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5、具有外部电平控制接口和级联控口</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CAD4B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8B7EA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2FF71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E51B12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E20D5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06F21C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934A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0620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313DE6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安装接插件</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2D97BC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国产优质接插件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98ACA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A987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nil"/>
              <w:left w:val="nil"/>
              <w:bottom w:val="nil"/>
              <w:right w:val="nil"/>
            </w:tcBorders>
            <w:shd w:val="clear"/>
            <w:noWrap/>
            <w:vAlign w:val="center"/>
          </w:tcPr>
          <w:p w14:paraId="6645CD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82114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0264C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472BF6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E876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42180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13245" w:type="dxa"/>
            <w:gridSpan w:val="8"/>
            <w:tcBorders>
              <w:top w:val="single" w:color="000000" w:sz="4" w:space="0"/>
              <w:left w:val="single" w:color="000000" w:sz="4" w:space="0"/>
              <w:bottom w:val="single" w:color="000000" w:sz="4" w:space="0"/>
              <w:right w:val="single" w:color="000000" w:sz="4" w:space="0"/>
            </w:tcBorders>
            <w:shd w:val="clear"/>
            <w:vAlign w:val="center"/>
          </w:tcPr>
          <w:p w14:paraId="62093A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5" name="Text_Box_5"/>
                  <wp:cNvGraphicFramePr/>
                  <a:graphic xmlns:a="http://schemas.openxmlformats.org/drawingml/2006/main">
                    <a:graphicData uri="http://schemas.openxmlformats.org/drawingml/2006/picture">
                      <pic:pic xmlns:pic="http://schemas.openxmlformats.org/drawingml/2006/picture">
                        <pic:nvPicPr>
                          <pic:cNvPr id="15"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 name="Text_Box_9"/>
                  <wp:cNvGraphicFramePr/>
                  <a:graphic xmlns:a="http://schemas.openxmlformats.org/drawingml/2006/main">
                    <a:graphicData uri="http://schemas.openxmlformats.org/drawingml/2006/picture">
                      <pic:pic xmlns:pic="http://schemas.openxmlformats.org/drawingml/2006/picture">
                        <pic:nvPicPr>
                          <pic:cNvPr id="4" name="Text_Box_9"/>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 name="Text_Box_5_SpCnt_1"/>
                  <wp:cNvGraphicFramePr/>
                  <a:graphic xmlns:a="http://schemas.openxmlformats.org/drawingml/2006/main">
                    <a:graphicData uri="http://schemas.openxmlformats.org/drawingml/2006/picture">
                      <pic:pic xmlns:pic="http://schemas.openxmlformats.org/drawingml/2006/picture">
                        <pic:nvPicPr>
                          <pic:cNvPr id="7" name="Text_Box_5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 name="Text_Box_9_SpCnt_1"/>
                  <wp:cNvGraphicFramePr/>
                  <a:graphic xmlns:a="http://schemas.openxmlformats.org/drawingml/2006/main">
                    <a:graphicData uri="http://schemas.openxmlformats.org/drawingml/2006/picture">
                      <pic:pic xmlns:pic="http://schemas.openxmlformats.org/drawingml/2006/picture">
                        <pic:nvPicPr>
                          <pic:cNvPr id="5" name="Text_Box_9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 name="Text_Box_12"/>
                  <wp:cNvGraphicFramePr/>
                  <a:graphic xmlns:a="http://schemas.openxmlformats.org/drawingml/2006/main">
                    <a:graphicData uri="http://schemas.openxmlformats.org/drawingml/2006/picture">
                      <pic:pic xmlns:pic="http://schemas.openxmlformats.org/drawingml/2006/picture">
                        <pic:nvPicPr>
                          <pic:cNvPr id="6" name="Text_Box_1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 name="Text_Box_10"/>
                  <wp:cNvGraphicFramePr/>
                  <a:graphic xmlns:a="http://schemas.openxmlformats.org/drawingml/2006/main">
                    <a:graphicData uri="http://schemas.openxmlformats.org/drawingml/2006/picture">
                      <pic:pic xmlns:pic="http://schemas.openxmlformats.org/drawingml/2006/picture">
                        <pic:nvPicPr>
                          <pic:cNvPr id="1" name="Text_Box_10"/>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 name="Text_Box_9_SpCnt_2"/>
                  <wp:cNvGraphicFramePr/>
                  <a:graphic xmlns:a="http://schemas.openxmlformats.org/drawingml/2006/main">
                    <a:graphicData uri="http://schemas.openxmlformats.org/drawingml/2006/picture">
                      <pic:pic xmlns:pic="http://schemas.openxmlformats.org/drawingml/2006/picture">
                        <pic:nvPicPr>
                          <pic:cNvPr id="10" name="Text_Box_9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 name="Text_Box_7"/>
                  <wp:cNvGraphicFramePr/>
                  <a:graphic xmlns:a="http://schemas.openxmlformats.org/drawingml/2006/main">
                    <a:graphicData uri="http://schemas.openxmlformats.org/drawingml/2006/picture">
                      <pic:pic xmlns:pic="http://schemas.openxmlformats.org/drawingml/2006/picture">
                        <pic:nvPicPr>
                          <pic:cNvPr id="2" name="Text_Box_7"/>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2" name="Text_Box_5_SpCnt_2"/>
                  <wp:cNvGraphicFramePr/>
                  <a:graphic xmlns:a="http://schemas.openxmlformats.org/drawingml/2006/main">
                    <a:graphicData uri="http://schemas.openxmlformats.org/drawingml/2006/picture">
                      <pic:pic xmlns:pic="http://schemas.openxmlformats.org/drawingml/2006/picture">
                        <pic:nvPicPr>
                          <pic:cNvPr id="12" name="Text_Box_5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 name="Text_Box_14"/>
                  <wp:cNvGraphicFramePr/>
                  <a:graphic xmlns:a="http://schemas.openxmlformats.org/drawingml/2006/main">
                    <a:graphicData uri="http://schemas.openxmlformats.org/drawingml/2006/picture">
                      <pic:pic xmlns:pic="http://schemas.openxmlformats.org/drawingml/2006/picture">
                        <pic:nvPicPr>
                          <pic:cNvPr id="8" name="Text_Box_14"/>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 name="Text_Box_12_SpCnt_1"/>
                  <wp:cNvGraphicFramePr/>
                  <a:graphic xmlns:a="http://schemas.openxmlformats.org/drawingml/2006/main">
                    <a:graphicData uri="http://schemas.openxmlformats.org/drawingml/2006/picture">
                      <pic:pic xmlns:pic="http://schemas.openxmlformats.org/drawingml/2006/picture">
                        <pic:nvPicPr>
                          <pic:cNvPr id="3" name="Text_Box_12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 name="Text_Box_7_SpCnt_1"/>
                  <wp:cNvGraphicFramePr/>
                  <a:graphic xmlns:a="http://schemas.openxmlformats.org/drawingml/2006/main">
                    <a:graphicData uri="http://schemas.openxmlformats.org/drawingml/2006/picture">
                      <pic:pic xmlns:pic="http://schemas.openxmlformats.org/drawingml/2006/picture">
                        <pic:nvPicPr>
                          <pic:cNvPr id="9" name="Text_Box_7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 name="Text_Box_10_SpCnt_1"/>
                  <wp:cNvGraphicFramePr/>
                  <a:graphic xmlns:a="http://schemas.openxmlformats.org/drawingml/2006/main">
                    <a:graphicData uri="http://schemas.openxmlformats.org/drawingml/2006/picture">
                      <pic:pic xmlns:pic="http://schemas.openxmlformats.org/drawingml/2006/picture">
                        <pic:nvPicPr>
                          <pic:cNvPr id="11" name="Text_Box_10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3" name="Text_Box_5_SpCnt_3"/>
                  <wp:cNvGraphicFramePr/>
                  <a:graphic xmlns:a="http://schemas.openxmlformats.org/drawingml/2006/main">
                    <a:graphicData uri="http://schemas.openxmlformats.org/drawingml/2006/picture">
                      <pic:pic xmlns:pic="http://schemas.openxmlformats.org/drawingml/2006/picture">
                        <pic:nvPicPr>
                          <pic:cNvPr id="13" name="Text_Box_5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4" name="Text_Box_14_SpCnt_1"/>
                  <wp:cNvGraphicFramePr/>
                  <a:graphic xmlns:a="http://schemas.openxmlformats.org/drawingml/2006/main">
                    <a:graphicData uri="http://schemas.openxmlformats.org/drawingml/2006/picture">
                      <pic:pic xmlns:pic="http://schemas.openxmlformats.org/drawingml/2006/picture">
                        <pic:nvPicPr>
                          <pic:cNvPr id="14" name="Text_Box_14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2" name="Text_Box_12_SpCnt_2"/>
                  <wp:cNvGraphicFramePr/>
                  <a:graphic xmlns:a="http://schemas.openxmlformats.org/drawingml/2006/main">
                    <a:graphicData uri="http://schemas.openxmlformats.org/drawingml/2006/picture">
                      <pic:pic xmlns:pic="http://schemas.openxmlformats.org/drawingml/2006/picture">
                        <pic:nvPicPr>
                          <pic:cNvPr id="22" name="Text_Box_12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3" name="Text_Box_10_SpCnt_2"/>
                  <wp:cNvGraphicFramePr/>
                  <a:graphic xmlns:a="http://schemas.openxmlformats.org/drawingml/2006/main">
                    <a:graphicData uri="http://schemas.openxmlformats.org/drawingml/2006/picture">
                      <pic:pic xmlns:pic="http://schemas.openxmlformats.org/drawingml/2006/picture">
                        <pic:nvPicPr>
                          <pic:cNvPr id="23" name="Text_Box_10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1" name="Text_Box_9_SpCnt_3"/>
                  <wp:cNvGraphicFramePr/>
                  <a:graphic xmlns:a="http://schemas.openxmlformats.org/drawingml/2006/main">
                    <a:graphicData uri="http://schemas.openxmlformats.org/drawingml/2006/picture">
                      <pic:pic xmlns:pic="http://schemas.openxmlformats.org/drawingml/2006/picture">
                        <pic:nvPicPr>
                          <pic:cNvPr id="21" name="Text_Box_9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0" name="Text_Box_14_SpCnt_2"/>
                  <wp:cNvGraphicFramePr/>
                  <a:graphic xmlns:a="http://schemas.openxmlformats.org/drawingml/2006/main">
                    <a:graphicData uri="http://schemas.openxmlformats.org/drawingml/2006/picture">
                      <pic:pic xmlns:pic="http://schemas.openxmlformats.org/drawingml/2006/picture">
                        <pic:nvPicPr>
                          <pic:cNvPr id="20" name="Text_Box_14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8" name="Text_Box_7_SpCnt_2"/>
                  <wp:cNvGraphicFramePr/>
                  <a:graphic xmlns:a="http://schemas.openxmlformats.org/drawingml/2006/main">
                    <a:graphicData uri="http://schemas.openxmlformats.org/drawingml/2006/picture">
                      <pic:pic xmlns:pic="http://schemas.openxmlformats.org/drawingml/2006/picture">
                        <pic:nvPicPr>
                          <pic:cNvPr id="18" name="Text_Box_7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6" name="Text_Box_12_SpCnt_3"/>
                  <wp:cNvGraphicFramePr/>
                  <a:graphic xmlns:a="http://schemas.openxmlformats.org/drawingml/2006/main">
                    <a:graphicData uri="http://schemas.openxmlformats.org/drawingml/2006/picture">
                      <pic:pic xmlns:pic="http://schemas.openxmlformats.org/drawingml/2006/picture">
                        <pic:nvPicPr>
                          <pic:cNvPr id="16" name="Text_Box_12_SpCnt_3"/>
                          <pic:cNvPicPr/>
                        </pic:nvPicPr>
                        <pic:blipFill>
                          <a:blip r:embed="rId9"/>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9" name="Text_Box_7_SpCnt_3"/>
                  <wp:cNvGraphicFramePr/>
                  <a:graphic xmlns:a="http://schemas.openxmlformats.org/drawingml/2006/main">
                    <a:graphicData uri="http://schemas.openxmlformats.org/drawingml/2006/picture">
                      <pic:pic xmlns:pic="http://schemas.openxmlformats.org/drawingml/2006/picture">
                        <pic:nvPicPr>
                          <pic:cNvPr id="19" name="Text_Box_7_SpCnt_3"/>
                          <pic:cNvPicPr/>
                        </pic:nvPicPr>
                        <pic:blipFill>
                          <a:blip r:embed="rId10"/>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7" name="Text_Box_10_SpCnt_3"/>
                  <wp:cNvGraphicFramePr/>
                  <a:graphic xmlns:a="http://schemas.openxmlformats.org/drawingml/2006/main">
                    <a:graphicData uri="http://schemas.openxmlformats.org/drawingml/2006/picture">
                      <pic:pic xmlns:pic="http://schemas.openxmlformats.org/drawingml/2006/picture">
                        <pic:nvPicPr>
                          <pic:cNvPr id="17" name="Text_Box_10_SpCnt_3"/>
                          <pic:cNvPicPr/>
                        </pic:nvPicPr>
                        <pic:blipFill>
                          <a:blip r:embed="rId11"/>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none" w:color="auto" w:sz="0" w:space="0"/>
                <w:lang w:val="en-US" w:eastAsia="zh-CN" w:bidi="ar"/>
              </w:rPr>
              <w:t>合计：</w:t>
            </w:r>
            <w:r>
              <w:rPr>
                <w:rStyle w:val="51"/>
                <w:bdr w:val="none" w:color="auto" w:sz="0" w:space="0"/>
                <w:lang w:val="en-US" w:eastAsia="zh-CN" w:bidi="ar"/>
              </w:rPr>
              <w:t xml:space="preserve">        </w:t>
            </w:r>
            <w:r>
              <w:rPr>
                <w:rFonts w:hint="eastAsia" w:ascii="宋体" w:hAnsi="宋体" w:eastAsia="宋体" w:cs="宋体"/>
                <w:i w:val="0"/>
                <w:iCs w:val="0"/>
                <w:color w:val="000000"/>
                <w:kern w:val="0"/>
                <w:sz w:val="24"/>
                <w:szCs w:val="24"/>
                <w:u w:val="none"/>
                <w:bdr w:val="none" w:color="auto" w:sz="0" w:space="0"/>
                <w:lang w:val="en-US" w:eastAsia="zh-CN" w:bidi="ar"/>
              </w:rPr>
              <w:t>元</w:t>
            </w:r>
          </w:p>
        </w:tc>
      </w:tr>
      <w:tr w14:paraId="2791C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325" w:type="dxa"/>
            <w:gridSpan w:val="9"/>
            <w:tcBorders>
              <w:top w:val="single" w:color="000000" w:sz="4" w:space="0"/>
              <w:left w:val="single" w:color="000000" w:sz="4" w:space="0"/>
              <w:bottom w:val="single" w:color="000000" w:sz="4" w:space="0"/>
              <w:right w:val="single" w:color="000000" w:sz="4" w:space="0"/>
            </w:tcBorders>
            <w:shd w:val="clear"/>
            <w:vAlign w:val="center"/>
          </w:tcPr>
          <w:p w14:paraId="2D4942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注：以上报价含可抵扣的增值税专用发票、运费、卸货以及安装</w:t>
            </w:r>
            <w:bookmarkStart w:id="0" w:name="_GoBack"/>
            <w:bookmarkEnd w:id="0"/>
            <w:r>
              <w:rPr>
                <w:rFonts w:hint="eastAsia" w:ascii="宋体" w:hAnsi="宋体" w:eastAsia="宋体" w:cs="宋体"/>
                <w:i w:val="0"/>
                <w:iCs w:val="0"/>
                <w:color w:val="FF0000"/>
                <w:kern w:val="0"/>
                <w:sz w:val="24"/>
                <w:szCs w:val="24"/>
                <w:u w:val="none"/>
                <w:bdr w:val="none" w:color="auto" w:sz="0" w:space="0"/>
                <w:lang w:val="en-US" w:eastAsia="zh-CN" w:bidi="ar"/>
              </w:rPr>
              <w:t>调试相关服务费用。</w:t>
            </w:r>
          </w:p>
        </w:tc>
      </w:tr>
      <w:tr w14:paraId="52D3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480BF8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是否接受保证金（控制价的2%）           </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3D4F73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3B17DC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是否接受履约保证金（成交金额的10%）</w:t>
            </w:r>
          </w:p>
        </w:tc>
        <w:tc>
          <w:tcPr>
            <w:tcW w:w="5250" w:type="dxa"/>
            <w:gridSpan w:val="4"/>
            <w:tcBorders>
              <w:top w:val="single" w:color="000000" w:sz="4" w:space="0"/>
              <w:left w:val="single" w:color="000000" w:sz="4" w:space="0"/>
              <w:bottom w:val="single" w:color="000000" w:sz="4" w:space="0"/>
              <w:right w:val="single" w:color="000000" w:sz="4" w:space="0"/>
            </w:tcBorders>
            <w:shd w:val="clear"/>
            <w:vAlign w:val="center"/>
          </w:tcPr>
          <w:p w14:paraId="6239C6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F07D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089278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质保期：             </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398570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2年</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759EE5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税点：</w:t>
            </w:r>
          </w:p>
        </w:tc>
        <w:tc>
          <w:tcPr>
            <w:tcW w:w="5250" w:type="dxa"/>
            <w:gridSpan w:val="4"/>
            <w:tcBorders>
              <w:top w:val="single" w:color="000000" w:sz="4" w:space="0"/>
              <w:left w:val="single" w:color="000000" w:sz="4" w:space="0"/>
              <w:bottom w:val="single" w:color="000000" w:sz="4" w:space="0"/>
              <w:right w:val="single" w:color="000000" w:sz="4" w:space="0"/>
            </w:tcBorders>
            <w:shd w:val="clear"/>
            <w:vAlign w:val="center"/>
          </w:tcPr>
          <w:p w14:paraId="23C99E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7518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755548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供货期：             </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554517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10天</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5EC990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付款方式</w:t>
            </w:r>
          </w:p>
        </w:tc>
        <w:tc>
          <w:tcPr>
            <w:tcW w:w="5250" w:type="dxa"/>
            <w:gridSpan w:val="4"/>
            <w:tcBorders>
              <w:top w:val="single" w:color="000000" w:sz="4" w:space="0"/>
              <w:left w:val="single" w:color="000000" w:sz="4" w:space="0"/>
              <w:bottom w:val="single" w:color="000000" w:sz="4" w:space="0"/>
              <w:right w:val="single" w:color="000000" w:sz="4" w:space="0"/>
            </w:tcBorders>
            <w:shd w:val="clear"/>
            <w:vAlign w:val="center"/>
          </w:tcPr>
          <w:p w14:paraId="45956F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合同签订后个7日内支付30%预付款，货到现场安装验收合格后一个月付清尾款。</w:t>
            </w:r>
          </w:p>
        </w:tc>
      </w:tr>
    </w:tbl>
    <w:p w14:paraId="3FFE4FC2">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1、付款条件:合同签订后个7日内支付30%预付款，货到现场安装验收合格后1个月付清尾款。注：付款时供应商须提供正规发票（因发票问题而导致无法正常付款的，责任由供应商自己承担）。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6B0E25"/>
    <w:rsid w:val="0D78696A"/>
    <w:rsid w:val="0DBF30C4"/>
    <w:rsid w:val="0DD96789"/>
    <w:rsid w:val="0F0F7410"/>
    <w:rsid w:val="100159F1"/>
    <w:rsid w:val="10275305"/>
    <w:rsid w:val="10941E2C"/>
    <w:rsid w:val="1106690F"/>
    <w:rsid w:val="115C3F6A"/>
    <w:rsid w:val="11F315DF"/>
    <w:rsid w:val="133B07D3"/>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5C5632"/>
    <w:rsid w:val="2B6A410E"/>
    <w:rsid w:val="2B9E5DD1"/>
    <w:rsid w:val="2C761843"/>
    <w:rsid w:val="2D4E2C33"/>
    <w:rsid w:val="2DC647A7"/>
    <w:rsid w:val="2E1B2848"/>
    <w:rsid w:val="2E1C17E4"/>
    <w:rsid w:val="2E342253"/>
    <w:rsid w:val="2FA05CF7"/>
    <w:rsid w:val="300D6BCC"/>
    <w:rsid w:val="30A001AC"/>
    <w:rsid w:val="31140310"/>
    <w:rsid w:val="318F1FBE"/>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966372"/>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2E4668A"/>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1D1E58"/>
    <w:rsid w:val="6F321DFD"/>
    <w:rsid w:val="6F575DD1"/>
    <w:rsid w:val="70155795"/>
    <w:rsid w:val="702E6762"/>
    <w:rsid w:val="70314EAA"/>
    <w:rsid w:val="7044602E"/>
    <w:rsid w:val="706B3AE0"/>
    <w:rsid w:val="70A15D8A"/>
    <w:rsid w:val="71270FB3"/>
    <w:rsid w:val="71E07B02"/>
    <w:rsid w:val="71F66174"/>
    <w:rsid w:val="72C34258"/>
    <w:rsid w:val="73CE218C"/>
    <w:rsid w:val="74AA472D"/>
    <w:rsid w:val="758F23C9"/>
    <w:rsid w:val="768165E1"/>
    <w:rsid w:val="797E290F"/>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 w:type="character" w:customStyle="1" w:styleId="51">
    <w:name w:val="font161"/>
    <w:basedOn w:val="26"/>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457</Words>
  <Characters>464</Characters>
  <Lines>0</Lines>
  <Paragraphs>0</Paragraphs>
  <TotalTime>37</TotalTime>
  <ScaleCrop>false</ScaleCrop>
  <LinksUpToDate>false</LinksUpToDate>
  <CharactersWithSpaces>730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2025-08-21T02:35:37Z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B3B58A98CE84408095364C23F83314AF_13</vt:lpwstr>
  </property>
  <property fmtid="{D5CDD505-2E9C-101B-9397-08002B2CF9AE}" pid="4" name="KSOTemplateDocerSaveRecord">
    <vt:lpwstr>eyJoZGlkIjoiMTdmMDNkNWQ0ZWMxNjY0YzI3ODdkN2UzOWY5OGRlNzEiLCJ1c2VySWQiOiI2OTk3Mjg4NzkifQ==</vt:lpwstr>
  </property>
</Properties>
</file>