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cs="宋体"/>
          <w:b/>
          <w:i w:val="0"/>
          <w:iCs w:val="0"/>
          <w:color w:val="000000"/>
          <w:kern w:val="0"/>
          <w:sz w:val="48"/>
          <w:szCs w:val="48"/>
          <w:u w:val="none"/>
          <w:lang w:val="en-US" w:eastAsia="zh-CN" w:bidi="ar"/>
        </w:rPr>
        <w:t>软件</w:t>
      </w:r>
      <w:r>
        <w:rPr>
          <w:rFonts w:hint="eastAsia" w:ascii="宋体" w:hAnsi="宋体" w:eastAsia="宋体" w:cs="宋体"/>
          <w:b/>
          <w:i w:val="0"/>
          <w:iCs w:val="0"/>
          <w:color w:val="000000"/>
          <w:kern w:val="0"/>
          <w:sz w:val="48"/>
          <w:szCs w:val="48"/>
          <w:u w:val="none"/>
          <w:lang w:val="en-US" w:eastAsia="zh-CN" w:bidi="ar"/>
        </w:rPr>
        <w:t>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775733FD">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2.3、营业执照（加盖公章）</w:t>
      </w:r>
    </w:p>
    <w:p w14:paraId="2D7F72D6">
      <w:pPr>
        <w:rPr>
          <w:rFonts w:hint="default"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2.4、原厂授权</w:t>
      </w:r>
    </w:p>
    <w:tbl>
      <w:tblPr>
        <w:tblStyle w:val="24"/>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695"/>
        <w:gridCol w:w="3150"/>
        <w:gridCol w:w="1080"/>
        <w:gridCol w:w="1005"/>
        <w:gridCol w:w="2265"/>
        <w:gridCol w:w="1080"/>
        <w:gridCol w:w="1245"/>
        <w:gridCol w:w="1500"/>
      </w:tblGrid>
      <w:tr w14:paraId="1CAAB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4100" w:type="dxa"/>
            <w:gridSpan w:val="9"/>
            <w:tcBorders>
              <w:top w:val="nil"/>
              <w:left w:val="nil"/>
              <w:bottom w:val="nil"/>
              <w:right w:val="nil"/>
            </w:tcBorders>
            <w:shd w:val="clear" w:color="auto" w:fill="auto"/>
            <w:vAlign w:val="center"/>
          </w:tcPr>
          <w:p w14:paraId="2B3C57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方正小标宋_GBK" w:hAnsi="方正小标宋_GBK" w:eastAsia="方正小标宋_GBK" w:cs="方正小标宋_GBK"/>
                <w:i w:val="0"/>
                <w:iCs w:val="0"/>
                <w:color w:val="000000"/>
                <w:sz w:val="32"/>
                <w:szCs w:val="32"/>
                <w:u w:val="none"/>
              </w:rPr>
            </w:pPr>
            <w:r>
              <w:rPr>
                <w:rFonts w:hint="default" w:ascii="方正小标宋_GBK" w:hAnsi="方正小标宋_GBK" w:eastAsia="方正小标宋_GBK" w:cs="方正小标宋_GBK"/>
                <w:i w:val="0"/>
                <w:iCs w:val="0"/>
                <w:color w:val="000000"/>
                <w:kern w:val="0"/>
                <w:sz w:val="32"/>
                <w:szCs w:val="32"/>
                <w:u w:val="none"/>
                <w:lang w:val="en-US" w:eastAsia="zh-CN" w:bidi="ar"/>
              </w:rPr>
              <w:t>三、清单报价表</w:t>
            </w:r>
          </w:p>
        </w:tc>
      </w:tr>
      <w:tr w14:paraId="4339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DFF1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询价单位</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B11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江苏省淮安市保安服务有限公司</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7F8C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报价单位</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129372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必填（盖章）</w:t>
            </w:r>
          </w:p>
        </w:tc>
      </w:tr>
      <w:tr w14:paraId="36CA7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5BC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52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ABE7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法定代表人或授权委托人</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01841E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7309C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B35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EE3B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E4D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6AA799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54CE8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169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6E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HABAccb@163.com</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EA8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295A1F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07884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7F64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3C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505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报价日期</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736FF9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16FA2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2F7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7A9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31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7DAF4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4CAB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893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56AD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品牌</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A492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16D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276EF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4069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E087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3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D84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010F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71B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9A5D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726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E50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1B8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A73B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14:paraId="28F594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95" w:type="dxa"/>
            <w:tcBorders>
              <w:top w:val="nil"/>
              <w:left w:val="single" w:color="000000" w:sz="4" w:space="0"/>
              <w:bottom w:val="single" w:color="000000" w:sz="4" w:space="0"/>
              <w:right w:val="single" w:color="000000" w:sz="4" w:space="0"/>
            </w:tcBorders>
            <w:shd w:val="clear" w:color="auto" w:fill="auto"/>
            <w:vAlign w:val="center"/>
          </w:tcPr>
          <w:p w14:paraId="6F1DB3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联软桌管点位扩容</w:t>
            </w:r>
          </w:p>
        </w:tc>
        <w:tc>
          <w:tcPr>
            <w:tcW w:w="3150" w:type="dxa"/>
            <w:tcBorders>
              <w:top w:val="nil"/>
              <w:left w:val="single" w:color="000000" w:sz="4" w:space="0"/>
              <w:bottom w:val="single" w:color="000000" w:sz="4" w:space="0"/>
              <w:right w:val="single" w:color="000000" w:sz="4" w:space="0"/>
            </w:tcBorders>
            <w:shd w:val="clear" w:color="auto" w:fill="auto"/>
            <w:vAlign w:val="center"/>
          </w:tcPr>
          <w:p w14:paraId="1206A6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400点扩容到600个点</w:t>
            </w:r>
          </w:p>
        </w:tc>
        <w:tc>
          <w:tcPr>
            <w:tcW w:w="1080" w:type="dxa"/>
            <w:tcBorders>
              <w:top w:val="nil"/>
              <w:left w:val="single" w:color="000000" w:sz="4" w:space="0"/>
              <w:bottom w:val="single" w:color="000000" w:sz="4" w:space="0"/>
              <w:right w:val="single" w:color="000000" w:sz="4" w:space="0"/>
            </w:tcBorders>
            <w:shd w:val="clear" w:color="auto" w:fill="auto"/>
            <w:vAlign w:val="center"/>
          </w:tcPr>
          <w:p w14:paraId="0FD0E6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ascii="新宋体" w:hAnsi="新宋体" w:eastAsia="新宋体" w:cs="新宋体"/>
                <w:i w:val="0"/>
                <w:iCs w:val="0"/>
                <w:color w:val="000000"/>
                <w:kern w:val="0"/>
                <w:sz w:val="20"/>
                <w:szCs w:val="20"/>
                <w:u w:val="none"/>
                <w:lang w:val="en-US" w:eastAsia="zh-CN" w:bidi="ar"/>
              </w:rPr>
              <w:t>批</w:t>
            </w:r>
          </w:p>
        </w:tc>
        <w:tc>
          <w:tcPr>
            <w:tcW w:w="1005" w:type="dxa"/>
            <w:tcBorders>
              <w:top w:val="nil"/>
              <w:left w:val="single" w:color="000000" w:sz="4" w:space="0"/>
              <w:bottom w:val="single" w:color="000000" w:sz="4" w:space="0"/>
              <w:right w:val="single" w:color="000000" w:sz="4" w:space="0"/>
            </w:tcBorders>
            <w:shd w:val="clear" w:color="auto" w:fill="auto"/>
            <w:vAlign w:val="center"/>
          </w:tcPr>
          <w:p w14:paraId="05CFFA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1A34F6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5E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53F9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22D049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85D2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14:paraId="570475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95" w:type="dxa"/>
            <w:tcBorders>
              <w:top w:val="nil"/>
              <w:left w:val="single" w:color="000000" w:sz="4" w:space="0"/>
              <w:bottom w:val="single" w:color="000000" w:sz="4" w:space="0"/>
              <w:right w:val="single" w:color="000000" w:sz="4" w:space="0"/>
            </w:tcBorders>
            <w:shd w:val="clear" w:color="auto" w:fill="auto"/>
            <w:vAlign w:val="center"/>
          </w:tcPr>
          <w:p w14:paraId="7E1EBE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软件</w:t>
            </w:r>
          </w:p>
        </w:tc>
        <w:tc>
          <w:tcPr>
            <w:tcW w:w="3150" w:type="dxa"/>
            <w:tcBorders>
              <w:top w:val="nil"/>
              <w:left w:val="single" w:color="000000" w:sz="4" w:space="0"/>
              <w:bottom w:val="single" w:color="000000" w:sz="4" w:space="0"/>
              <w:right w:val="single" w:color="000000" w:sz="4" w:space="0"/>
            </w:tcBorders>
            <w:shd w:val="clear" w:color="auto" w:fill="auto"/>
            <w:vAlign w:val="center"/>
          </w:tcPr>
          <w:p w14:paraId="23B276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企业软件商店模块许可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。功能包括：</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1）支持1000个设备使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用软件商店；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2）企业软件商店管理;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3）软件的上传、下载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及升级；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4）自带软件评价体系;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 工具箱管理。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联软桌管扩容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400点到600点</w:t>
            </w:r>
          </w:p>
        </w:tc>
        <w:tc>
          <w:tcPr>
            <w:tcW w:w="1080" w:type="dxa"/>
            <w:tcBorders>
              <w:top w:val="nil"/>
              <w:left w:val="single" w:color="000000" w:sz="4" w:space="0"/>
              <w:bottom w:val="single" w:color="000000" w:sz="4" w:space="0"/>
              <w:right w:val="single" w:color="000000" w:sz="4" w:space="0"/>
            </w:tcBorders>
            <w:shd w:val="clear" w:color="auto" w:fill="auto"/>
            <w:vAlign w:val="center"/>
          </w:tcPr>
          <w:p w14:paraId="08F861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ascii="新宋体" w:hAnsi="新宋体" w:eastAsia="新宋体" w:cs="新宋体"/>
                <w:i w:val="0"/>
                <w:iCs w:val="0"/>
                <w:color w:val="000000"/>
                <w:kern w:val="0"/>
                <w:sz w:val="20"/>
                <w:szCs w:val="20"/>
                <w:u w:val="none"/>
                <w:lang w:val="en-US" w:eastAsia="zh-CN" w:bidi="ar"/>
              </w:rPr>
              <w:t>套</w:t>
            </w:r>
          </w:p>
        </w:tc>
        <w:tc>
          <w:tcPr>
            <w:tcW w:w="1005" w:type="dxa"/>
            <w:tcBorders>
              <w:top w:val="nil"/>
              <w:left w:val="single" w:color="000000" w:sz="4" w:space="0"/>
              <w:bottom w:val="single" w:color="000000" w:sz="4" w:space="0"/>
              <w:right w:val="single" w:color="000000" w:sz="4" w:space="0"/>
            </w:tcBorders>
            <w:shd w:val="clear" w:color="auto" w:fill="auto"/>
            <w:vAlign w:val="center"/>
          </w:tcPr>
          <w:p w14:paraId="5D0D81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BCC38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420C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D5CA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5D10384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71C0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9106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c>
          <w:tcPr>
            <w:tcW w:w="13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B246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2" name="Text_Box_5"/>
                  <wp:cNvGraphicFramePr/>
                  <a:graphic xmlns:a="http://schemas.openxmlformats.org/drawingml/2006/main">
                    <a:graphicData uri="http://schemas.openxmlformats.org/drawingml/2006/picture">
                      <pic:pic xmlns:pic="http://schemas.openxmlformats.org/drawingml/2006/picture">
                        <pic:nvPicPr>
                          <pic:cNvPr id="22" name="Text_Box_5"/>
                          <pic:cNvPicPr/>
                        </pic:nvPicPr>
                        <pic:blipFill>
                          <a:blip r:embed="rId6"/>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3" name="Text_Box_9"/>
                  <wp:cNvGraphicFramePr/>
                  <a:graphic xmlns:a="http://schemas.openxmlformats.org/drawingml/2006/main">
                    <a:graphicData uri="http://schemas.openxmlformats.org/drawingml/2006/picture">
                      <pic:pic xmlns:pic="http://schemas.openxmlformats.org/drawingml/2006/picture">
                        <pic:nvPicPr>
                          <pic:cNvPr id="23" name="Text_Box_9"/>
                          <pic:cNvPicPr/>
                        </pic:nvPicPr>
                        <pic:blipFill>
                          <a:blip r:embed="rId7"/>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4" name="Text_Box_5_SpCnt_1"/>
                  <wp:cNvGraphicFramePr/>
                  <a:graphic xmlns:a="http://schemas.openxmlformats.org/drawingml/2006/main">
                    <a:graphicData uri="http://schemas.openxmlformats.org/drawingml/2006/picture">
                      <pic:pic xmlns:pic="http://schemas.openxmlformats.org/drawingml/2006/picture">
                        <pic:nvPicPr>
                          <pic:cNvPr id="24" name="Text_Box_5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5" name="Text_Box_9_SpCnt_1"/>
                  <wp:cNvGraphicFramePr/>
                  <a:graphic xmlns:a="http://schemas.openxmlformats.org/drawingml/2006/main">
                    <a:graphicData uri="http://schemas.openxmlformats.org/drawingml/2006/picture">
                      <pic:pic xmlns:pic="http://schemas.openxmlformats.org/drawingml/2006/picture">
                        <pic:nvPicPr>
                          <pic:cNvPr id="25" name="Text_Box_9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1" name="Text_Box_12"/>
                  <wp:cNvGraphicFramePr/>
                  <a:graphic xmlns:a="http://schemas.openxmlformats.org/drawingml/2006/main">
                    <a:graphicData uri="http://schemas.openxmlformats.org/drawingml/2006/picture">
                      <pic:pic xmlns:pic="http://schemas.openxmlformats.org/drawingml/2006/picture">
                        <pic:nvPicPr>
                          <pic:cNvPr id="21" name="Text_Box_1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0" name="Text_Box_10"/>
                  <wp:cNvGraphicFramePr/>
                  <a:graphic xmlns:a="http://schemas.openxmlformats.org/drawingml/2006/main">
                    <a:graphicData uri="http://schemas.openxmlformats.org/drawingml/2006/picture">
                      <pic:pic xmlns:pic="http://schemas.openxmlformats.org/drawingml/2006/picture">
                        <pic:nvPicPr>
                          <pic:cNvPr id="20" name="Text_Box_10"/>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19" name="Text_Box_9_SpCnt_2"/>
                  <wp:cNvGraphicFramePr/>
                  <a:graphic xmlns:a="http://schemas.openxmlformats.org/drawingml/2006/main">
                    <a:graphicData uri="http://schemas.openxmlformats.org/drawingml/2006/picture">
                      <pic:pic xmlns:pic="http://schemas.openxmlformats.org/drawingml/2006/picture">
                        <pic:nvPicPr>
                          <pic:cNvPr id="19" name="Text_Box_9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0" name="Text_Box_7"/>
                  <wp:cNvGraphicFramePr/>
                  <a:graphic xmlns:a="http://schemas.openxmlformats.org/drawingml/2006/main">
                    <a:graphicData uri="http://schemas.openxmlformats.org/drawingml/2006/picture">
                      <pic:pic xmlns:pic="http://schemas.openxmlformats.org/drawingml/2006/picture">
                        <pic:nvPicPr>
                          <pic:cNvPr id="30" name="Text_Box_7"/>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1" name="Text_Box_5_SpCnt_2"/>
                  <wp:cNvGraphicFramePr/>
                  <a:graphic xmlns:a="http://schemas.openxmlformats.org/drawingml/2006/main">
                    <a:graphicData uri="http://schemas.openxmlformats.org/drawingml/2006/picture">
                      <pic:pic xmlns:pic="http://schemas.openxmlformats.org/drawingml/2006/picture">
                        <pic:nvPicPr>
                          <pic:cNvPr id="31" name="Text_Box_5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2" name="Text_Box_14"/>
                  <wp:cNvGraphicFramePr/>
                  <a:graphic xmlns:a="http://schemas.openxmlformats.org/drawingml/2006/main">
                    <a:graphicData uri="http://schemas.openxmlformats.org/drawingml/2006/picture">
                      <pic:pic xmlns:pic="http://schemas.openxmlformats.org/drawingml/2006/picture">
                        <pic:nvPicPr>
                          <pic:cNvPr id="32" name="Text_Box_14"/>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8" name="Text_Box_12_SpCnt_1"/>
                  <wp:cNvGraphicFramePr/>
                  <a:graphic xmlns:a="http://schemas.openxmlformats.org/drawingml/2006/main">
                    <a:graphicData uri="http://schemas.openxmlformats.org/drawingml/2006/picture">
                      <pic:pic xmlns:pic="http://schemas.openxmlformats.org/drawingml/2006/picture">
                        <pic:nvPicPr>
                          <pic:cNvPr id="28" name="Text_Box_12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9" name="Text_Box_7_SpCnt_1"/>
                  <wp:cNvGraphicFramePr/>
                  <a:graphic xmlns:a="http://schemas.openxmlformats.org/drawingml/2006/main">
                    <a:graphicData uri="http://schemas.openxmlformats.org/drawingml/2006/picture">
                      <pic:pic xmlns:pic="http://schemas.openxmlformats.org/drawingml/2006/picture">
                        <pic:nvPicPr>
                          <pic:cNvPr id="29" name="Text_Box_7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6" name="Text_Box_10_SpCnt_1"/>
                  <wp:cNvGraphicFramePr/>
                  <a:graphic xmlns:a="http://schemas.openxmlformats.org/drawingml/2006/main">
                    <a:graphicData uri="http://schemas.openxmlformats.org/drawingml/2006/picture">
                      <pic:pic xmlns:pic="http://schemas.openxmlformats.org/drawingml/2006/picture">
                        <pic:nvPicPr>
                          <pic:cNvPr id="26" name="Text_Box_10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7" name="Text_Box_5_SpCnt_3"/>
                  <wp:cNvGraphicFramePr/>
                  <a:graphic xmlns:a="http://schemas.openxmlformats.org/drawingml/2006/main">
                    <a:graphicData uri="http://schemas.openxmlformats.org/drawingml/2006/picture">
                      <pic:pic xmlns:pic="http://schemas.openxmlformats.org/drawingml/2006/picture">
                        <pic:nvPicPr>
                          <pic:cNvPr id="27" name="Text_Box_5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18" name="Text_Box_14_SpCnt_1"/>
                  <wp:cNvGraphicFramePr/>
                  <a:graphic xmlns:a="http://schemas.openxmlformats.org/drawingml/2006/main">
                    <a:graphicData uri="http://schemas.openxmlformats.org/drawingml/2006/picture">
                      <pic:pic xmlns:pic="http://schemas.openxmlformats.org/drawingml/2006/picture">
                        <pic:nvPicPr>
                          <pic:cNvPr id="18" name="Text_Box_14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3" name="Text_Box_12_SpCnt_2"/>
                  <wp:cNvGraphicFramePr/>
                  <a:graphic xmlns:a="http://schemas.openxmlformats.org/drawingml/2006/main">
                    <a:graphicData uri="http://schemas.openxmlformats.org/drawingml/2006/picture">
                      <pic:pic xmlns:pic="http://schemas.openxmlformats.org/drawingml/2006/picture">
                        <pic:nvPicPr>
                          <pic:cNvPr id="33" name="Text_Box_12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8" name="Text_Box_10_SpCnt_2"/>
                  <wp:cNvGraphicFramePr/>
                  <a:graphic xmlns:a="http://schemas.openxmlformats.org/drawingml/2006/main">
                    <a:graphicData uri="http://schemas.openxmlformats.org/drawingml/2006/picture">
                      <pic:pic xmlns:pic="http://schemas.openxmlformats.org/drawingml/2006/picture">
                        <pic:nvPicPr>
                          <pic:cNvPr id="38" name="Text_Box_10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4" name="Text_Box_9_SpCnt_3"/>
                  <wp:cNvGraphicFramePr/>
                  <a:graphic xmlns:a="http://schemas.openxmlformats.org/drawingml/2006/main">
                    <a:graphicData uri="http://schemas.openxmlformats.org/drawingml/2006/picture">
                      <pic:pic xmlns:pic="http://schemas.openxmlformats.org/drawingml/2006/picture">
                        <pic:nvPicPr>
                          <pic:cNvPr id="34" name="Text_Box_9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0" name="Text_Box_14_SpCnt_2"/>
                  <wp:cNvGraphicFramePr/>
                  <a:graphic xmlns:a="http://schemas.openxmlformats.org/drawingml/2006/main">
                    <a:graphicData uri="http://schemas.openxmlformats.org/drawingml/2006/picture">
                      <pic:pic xmlns:pic="http://schemas.openxmlformats.org/drawingml/2006/picture">
                        <pic:nvPicPr>
                          <pic:cNvPr id="40" name="Text_Box_14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5" name="Text_Box_7_SpCnt_2"/>
                  <wp:cNvGraphicFramePr/>
                  <a:graphic xmlns:a="http://schemas.openxmlformats.org/drawingml/2006/main">
                    <a:graphicData uri="http://schemas.openxmlformats.org/drawingml/2006/picture">
                      <pic:pic xmlns:pic="http://schemas.openxmlformats.org/drawingml/2006/picture">
                        <pic:nvPicPr>
                          <pic:cNvPr id="35" name="Text_Box_7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6" name="Text_Box_12_SpCnt_3"/>
                  <wp:cNvGraphicFramePr/>
                  <a:graphic xmlns:a="http://schemas.openxmlformats.org/drawingml/2006/main">
                    <a:graphicData uri="http://schemas.openxmlformats.org/drawingml/2006/picture">
                      <pic:pic xmlns:pic="http://schemas.openxmlformats.org/drawingml/2006/picture">
                        <pic:nvPicPr>
                          <pic:cNvPr id="36" name="Text_Box_12_SpCnt_3"/>
                          <pic:cNvPicPr/>
                        </pic:nvPicPr>
                        <pic:blipFill>
                          <a:blip r:embed="rId9"/>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7" name="Text_Box_7_SpCnt_3"/>
                  <wp:cNvGraphicFramePr/>
                  <a:graphic xmlns:a="http://schemas.openxmlformats.org/drawingml/2006/main">
                    <a:graphicData uri="http://schemas.openxmlformats.org/drawingml/2006/picture">
                      <pic:pic xmlns:pic="http://schemas.openxmlformats.org/drawingml/2006/picture">
                        <pic:nvPicPr>
                          <pic:cNvPr id="37" name="Text_Box_7_SpCnt_3"/>
                          <pic:cNvPicPr/>
                        </pic:nvPicPr>
                        <pic:blipFill>
                          <a:blip r:embed="rId10"/>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9" name="Text_Box_10_SpCnt_3"/>
                  <wp:cNvGraphicFramePr/>
                  <a:graphic xmlns:a="http://schemas.openxmlformats.org/drawingml/2006/main">
                    <a:graphicData uri="http://schemas.openxmlformats.org/drawingml/2006/picture">
                      <pic:pic xmlns:pic="http://schemas.openxmlformats.org/drawingml/2006/picture">
                        <pic:nvPicPr>
                          <pic:cNvPr id="39" name="Text_Box_10_SpCnt_3"/>
                          <pic:cNvPicPr/>
                        </pic:nvPicPr>
                        <pic:blipFill>
                          <a:blip r:embed="rId11"/>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lang w:val="en-US" w:eastAsia="zh-CN" w:bidi="ar"/>
              </w:rPr>
              <w:t>合计：</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元</w:t>
            </w:r>
          </w:p>
        </w:tc>
      </w:tr>
      <w:tr w14:paraId="04242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41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687B7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注：以上报价含可抵扣的增值税专用发票、运费、以及调试相关服务费用。</w:t>
            </w:r>
          </w:p>
        </w:tc>
      </w:tr>
      <w:tr w14:paraId="1E3AA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458D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是否接受保证金（控制价的2%）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229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68F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是否接受履约保证金（成交金额的10%）</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0683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0F5C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D76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质保期：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A93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2年</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D87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税点：</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8D5DC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1BCF8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016D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供货期：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8A4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7天</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BBA0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付款方式</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7ABE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合同签订后个7日内支付30%预付款，调试验收合格后</w:t>
            </w:r>
            <w:r>
              <w:rPr>
                <w:rFonts w:hint="eastAsia" w:ascii="宋体" w:hAnsi="宋体" w:eastAsia="宋体" w:cs="宋体"/>
                <w:i w:val="0"/>
                <w:iCs w:val="0"/>
                <w:color w:val="FF0000"/>
                <w:kern w:val="0"/>
                <w:sz w:val="24"/>
                <w:szCs w:val="24"/>
                <w:u w:val="none"/>
                <w:lang w:val="en-US" w:eastAsia="zh-CN" w:bidi="ar"/>
              </w:rPr>
              <w:t>3个月内付清尾款</w:t>
            </w:r>
          </w:p>
        </w:tc>
      </w:tr>
    </w:tbl>
    <w:p w14:paraId="3FFE4FC2">
      <w:pPr>
        <w:ind w:left="0" w:leftChars="0" w:firstLine="0" w:firstLineChars="0"/>
        <w:rPr>
          <w:rFonts w:hint="eastAsia"/>
          <w:lang w:val="en-US" w:eastAsia="zh-CN"/>
        </w:rPr>
        <w:sectPr>
          <w:pgSz w:w="16838" w:h="11906" w:orient="landscape"/>
          <w:pgMar w:top="1800" w:right="1440" w:bottom="1800" w:left="1440" w:header="851" w:footer="992" w:gutter="0"/>
          <w:cols w:space="425" w:num="1"/>
          <w:docGrid w:type="lines" w:linePitch="312" w:charSpace="0"/>
        </w:sectPr>
      </w:pPr>
    </w:p>
    <w:p w14:paraId="736DD848">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5DCC46EE">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40244F07">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68DA160E">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36E10A11">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7995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67B26D8">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4F859A5B">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2A0FAF6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6015E3BA">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3F016BE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61B0C59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4C7E905E">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792F09F3">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2C1CD82F">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77F6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3A6D1E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8C318B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72CAC66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061BDC90">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4751C2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19D2DB02">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E2CAB67">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0933049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60C0B83">
            <w:pPr>
              <w:pStyle w:val="17"/>
              <w:spacing w:line="340" w:lineRule="exact"/>
              <w:ind w:left="0" w:leftChars="0" w:firstLine="0" w:firstLineChars="0"/>
              <w:jc w:val="both"/>
              <w:rPr>
                <w:rFonts w:hint="eastAsia" w:ascii="仿宋" w:hAnsi="仿宋" w:eastAsia="仿宋" w:cs="仿宋"/>
                <w:color w:val="auto"/>
                <w:sz w:val="24"/>
                <w:szCs w:val="24"/>
              </w:rPr>
            </w:pPr>
          </w:p>
        </w:tc>
      </w:tr>
      <w:tr w14:paraId="2AF0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E75CE76">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D7DB82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4E3AB6B">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8449117">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74562F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8D434D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8C047A5">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67AF166E">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3B8B6B9">
            <w:pPr>
              <w:pStyle w:val="17"/>
              <w:spacing w:line="340" w:lineRule="exact"/>
              <w:ind w:left="0" w:leftChars="0" w:firstLine="0" w:firstLineChars="0"/>
              <w:jc w:val="both"/>
              <w:rPr>
                <w:rFonts w:hint="eastAsia" w:ascii="仿宋" w:hAnsi="仿宋" w:eastAsia="仿宋" w:cs="仿宋"/>
                <w:color w:val="auto"/>
                <w:sz w:val="24"/>
                <w:szCs w:val="24"/>
              </w:rPr>
            </w:pPr>
          </w:p>
        </w:tc>
      </w:tr>
      <w:tr w14:paraId="3B6B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64B1B09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E728A32">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57E142D">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78832CF8">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4A5EF19E">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23694D25">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641483B">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5D26F8">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E6F90D6">
            <w:pPr>
              <w:pStyle w:val="17"/>
              <w:spacing w:line="340" w:lineRule="exact"/>
              <w:ind w:left="0" w:leftChars="0" w:firstLine="0" w:firstLineChars="0"/>
              <w:jc w:val="both"/>
              <w:rPr>
                <w:rFonts w:hint="eastAsia" w:ascii="仿宋" w:hAnsi="仿宋" w:eastAsia="仿宋" w:cs="仿宋"/>
                <w:color w:val="auto"/>
                <w:sz w:val="24"/>
                <w:szCs w:val="24"/>
              </w:rPr>
            </w:pPr>
          </w:p>
        </w:tc>
      </w:tr>
      <w:tr w14:paraId="494F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7506967">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F2A747D">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5576A0AA">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F448575">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8689BE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FFA3F3E">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61E4440">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76A25C03">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E7B2805">
            <w:pPr>
              <w:pStyle w:val="17"/>
              <w:spacing w:line="340" w:lineRule="exact"/>
              <w:ind w:left="0" w:leftChars="0" w:firstLine="0" w:firstLineChars="0"/>
              <w:jc w:val="both"/>
              <w:rPr>
                <w:rFonts w:hint="eastAsia" w:ascii="仿宋" w:hAnsi="仿宋" w:eastAsia="仿宋" w:cs="仿宋"/>
                <w:color w:val="auto"/>
                <w:sz w:val="24"/>
                <w:szCs w:val="24"/>
              </w:rPr>
            </w:pPr>
          </w:p>
        </w:tc>
      </w:tr>
      <w:tr w14:paraId="5CE7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DC9E2D">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4F5A1D9">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EF187E9">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578D3A6">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BCC4F24">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39698E87">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68373D5D">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0582C79">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642C8EE">
            <w:pPr>
              <w:pStyle w:val="17"/>
              <w:spacing w:line="340" w:lineRule="exact"/>
              <w:ind w:left="0" w:leftChars="0" w:firstLine="0" w:firstLineChars="0"/>
              <w:jc w:val="both"/>
              <w:rPr>
                <w:rFonts w:hint="eastAsia" w:ascii="仿宋" w:hAnsi="仿宋" w:eastAsia="仿宋" w:cs="仿宋"/>
                <w:color w:val="auto"/>
                <w:sz w:val="24"/>
                <w:szCs w:val="24"/>
              </w:rPr>
            </w:pPr>
          </w:p>
        </w:tc>
      </w:tr>
      <w:tr w14:paraId="3C4B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BB829E">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034D59B">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DFDD83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6AE7C619">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4E7F10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D46CC99">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E0856B6">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70AE16">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A779C09">
            <w:pPr>
              <w:pStyle w:val="17"/>
              <w:spacing w:line="340" w:lineRule="exact"/>
              <w:ind w:left="0" w:leftChars="0" w:firstLine="0" w:firstLineChars="0"/>
              <w:jc w:val="both"/>
              <w:rPr>
                <w:rFonts w:hint="eastAsia" w:ascii="仿宋" w:hAnsi="仿宋" w:eastAsia="仿宋" w:cs="仿宋"/>
                <w:color w:val="auto"/>
                <w:sz w:val="24"/>
                <w:szCs w:val="24"/>
              </w:rPr>
            </w:pPr>
          </w:p>
        </w:tc>
      </w:tr>
      <w:tr w14:paraId="3225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66A3D74">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085D7CE">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1E2535AF">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95384B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6D8ABD1">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7FC21800">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0C45981">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3186B45F">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4EB0CBA0">
            <w:pPr>
              <w:pStyle w:val="17"/>
              <w:spacing w:line="340" w:lineRule="exact"/>
              <w:ind w:left="0" w:leftChars="0" w:firstLine="0" w:firstLineChars="0"/>
              <w:jc w:val="both"/>
              <w:rPr>
                <w:rFonts w:hint="eastAsia" w:ascii="仿宋" w:hAnsi="仿宋" w:eastAsia="仿宋" w:cs="仿宋"/>
                <w:color w:val="auto"/>
                <w:sz w:val="24"/>
                <w:szCs w:val="24"/>
              </w:rPr>
            </w:pPr>
          </w:p>
        </w:tc>
      </w:tr>
      <w:tr w14:paraId="1613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7DA60C9E">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4A9E597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7776C62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39E15F42">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1、付款条件:合同签订后个7日内支付30%预付款，调试验收合格后3个月内付清尾款。注：付款时供应商须提供正规发票（因发票问题而导致无法正常付款的，责任由供应商自己承担）。</w:t>
      </w:r>
    </w:p>
    <w:p w14:paraId="50D36E2D">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2、付款形式：银行转账。</w:t>
      </w:r>
      <w:bookmarkStart w:id="0" w:name="_GoBack"/>
      <w:bookmarkEnd w:id="0"/>
    </w:p>
    <w:p w14:paraId="0DD93EB7">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1）甲方账户信息：</w:t>
      </w:r>
    </w:p>
    <w:p w14:paraId="0AB5850F">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户名：江苏省淮安市保安服务有限公司</w:t>
      </w:r>
    </w:p>
    <w:p w14:paraId="215289D9">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开户银行：中国建设银行淮安分行营业部</w:t>
      </w:r>
    </w:p>
    <w:p w14:paraId="1D1461EB">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账号：32001728636050797351</w:t>
      </w:r>
    </w:p>
    <w:p w14:paraId="711C5813">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2）乙方账户信息：</w:t>
      </w:r>
    </w:p>
    <w:p w14:paraId="65E9643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收款户名：</w:t>
      </w:r>
    </w:p>
    <w:p w14:paraId="213B0009">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w:t>
      </w:r>
    </w:p>
    <w:p w14:paraId="74337EA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开户行：</w:t>
      </w:r>
    </w:p>
    <w:p w14:paraId="27AF7028">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4301387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60B2DF0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420E4A5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0514182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6A809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73C4937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3D56A8D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326F98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3713184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60A0F09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7D40C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24601ED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0EC3EB9C">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747AD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0EA06F3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2、本合同项下产品质保期为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年，以设备验收单签字确认起算。甲方使用设</w:t>
      </w:r>
      <w:r>
        <w:rPr>
          <w:rFonts w:hint="eastAsia" w:ascii="仿宋" w:hAnsi="仿宋" w:eastAsia="仿宋" w:cs="仿宋"/>
          <w:color w:val="auto"/>
          <w:sz w:val="24"/>
          <w:szCs w:val="24"/>
          <w:lang w:val="en-US" w:eastAsia="zh-CN"/>
        </w:rPr>
        <w:t>备发生质量问题，甲方有权要求乙方在 4 小时内响应并进行电话说明，同时对问题产品在当日进行退货、更换、维修手续，保证 3 日内恢复正常使用功能，并承担由此产生所有的费用。</w:t>
      </w:r>
    </w:p>
    <w:p w14:paraId="746F824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263A56D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3F2CAD3B">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2F33ACF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1E98EC2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14490C3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755111B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444E79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0EEED08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16226F8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3C95343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73CE195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16F4FBF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4CFEC88F">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20D1D778">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539E6175">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1BF83F9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48996447">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1D5D93B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6E3EB1F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7E7E731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76728DB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10D3606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6D119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65774B6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506F43B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1DF5D161">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070B3987">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01BA42C4">
      <w:pPr>
        <w:ind w:left="0" w:leftChars="0" w:firstLine="0" w:firstLineChars="0"/>
      </w:pPr>
    </w:p>
    <w:p w14:paraId="2CEEC135"/>
    <w:p w14:paraId="3DC037E7"/>
    <w:p w14:paraId="3A8653B5"/>
    <w:sectPr>
      <w:pgSz w:w="11906" w:h="16838"/>
      <w:pgMar w:top="1701" w:right="1587" w:bottom="1587" w:left="1587" w:header="851" w:footer="992" w:gutter="0"/>
      <w:cols w:space="0" w:num="1"/>
      <w:rtlGutter w:val="0"/>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auto"/>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76BACEE7"/>
    <w:multiLevelType w:val="singleLevel"/>
    <w:tmpl w:val="76BACEE7"/>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1413809"/>
    <w:rsid w:val="020D7BB0"/>
    <w:rsid w:val="02635986"/>
    <w:rsid w:val="02BD280C"/>
    <w:rsid w:val="02BD7BE0"/>
    <w:rsid w:val="03626CD0"/>
    <w:rsid w:val="03BB36BB"/>
    <w:rsid w:val="04741F2A"/>
    <w:rsid w:val="058E7D29"/>
    <w:rsid w:val="06E65ABA"/>
    <w:rsid w:val="07CC21FA"/>
    <w:rsid w:val="08193505"/>
    <w:rsid w:val="082F30B8"/>
    <w:rsid w:val="0886108C"/>
    <w:rsid w:val="09DB488A"/>
    <w:rsid w:val="09FE7C7D"/>
    <w:rsid w:val="0A443009"/>
    <w:rsid w:val="0BC2638F"/>
    <w:rsid w:val="0BDC6B78"/>
    <w:rsid w:val="0C882A07"/>
    <w:rsid w:val="0CD142BE"/>
    <w:rsid w:val="0D681C76"/>
    <w:rsid w:val="0D78696A"/>
    <w:rsid w:val="0DBF30C4"/>
    <w:rsid w:val="0DD96789"/>
    <w:rsid w:val="0F0F7410"/>
    <w:rsid w:val="100159F1"/>
    <w:rsid w:val="10275305"/>
    <w:rsid w:val="10941E2C"/>
    <w:rsid w:val="115C3F6A"/>
    <w:rsid w:val="133B07D3"/>
    <w:rsid w:val="138B678C"/>
    <w:rsid w:val="13A43BC7"/>
    <w:rsid w:val="144B0B25"/>
    <w:rsid w:val="14F94AB5"/>
    <w:rsid w:val="157C124F"/>
    <w:rsid w:val="15B405D8"/>
    <w:rsid w:val="16B37629"/>
    <w:rsid w:val="173B2189"/>
    <w:rsid w:val="17CE6EF3"/>
    <w:rsid w:val="18432530"/>
    <w:rsid w:val="185D2018"/>
    <w:rsid w:val="1870435E"/>
    <w:rsid w:val="18B65219"/>
    <w:rsid w:val="193251CA"/>
    <w:rsid w:val="1959078F"/>
    <w:rsid w:val="1A48720E"/>
    <w:rsid w:val="1B811C42"/>
    <w:rsid w:val="1B96686D"/>
    <w:rsid w:val="1C1414B5"/>
    <w:rsid w:val="1C44694B"/>
    <w:rsid w:val="1CB642A6"/>
    <w:rsid w:val="1CBE542C"/>
    <w:rsid w:val="1E434544"/>
    <w:rsid w:val="1F444EB4"/>
    <w:rsid w:val="1F741D8C"/>
    <w:rsid w:val="1FC0011B"/>
    <w:rsid w:val="1FF000D2"/>
    <w:rsid w:val="1FF040AD"/>
    <w:rsid w:val="200C3464"/>
    <w:rsid w:val="231653F3"/>
    <w:rsid w:val="23B60935"/>
    <w:rsid w:val="245503E6"/>
    <w:rsid w:val="24874408"/>
    <w:rsid w:val="24883CAD"/>
    <w:rsid w:val="24BF2D95"/>
    <w:rsid w:val="259D1AFE"/>
    <w:rsid w:val="25BA7F75"/>
    <w:rsid w:val="25DE44B5"/>
    <w:rsid w:val="264801BD"/>
    <w:rsid w:val="267537D8"/>
    <w:rsid w:val="26A67AF4"/>
    <w:rsid w:val="27933CD9"/>
    <w:rsid w:val="27B75BEB"/>
    <w:rsid w:val="28126BBF"/>
    <w:rsid w:val="281D45C6"/>
    <w:rsid w:val="292E08DE"/>
    <w:rsid w:val="29E622D3"/>
    <w:rsid w:val="2A225DF1"/>
    <w:rsid w:val="2B6A410E"/>
    <w:rsid w:val="2B9E5DD1"/>
    <w:rsid w:val="2C761843"/>
    <w:rsid w:val="2D4E2C33"/>
    <w:rsid w:val="2DC647A7"/>
    <w:rsid w:val="2E1B2848"/>
    <w:rsid w:val="2E342253"/>
    <w:rsid w:val="2FA05CF7"/>
    <w:rsid w:val="300D6BCC"/>
    <w:rsid w:val="30A001AC"/>
    <w:rsid w:val="31140310"/>
    <w:rsid w:val="318F1FBE"/>
    <w:rsid w:val="339B7C29"/>
    <w:rsid w:val="345319C9"/>
    <w:rsid w:val="37A7439E"/>
    <w:rsid w:val="37CA2BC5"/>
    <w:rsid w:val="37F03342"/>
    <w:rsid w:val="38544E55"/>
    <w:rsid w:val="39064FC8"/>
    <w:rsid w:val="39963E4D"/>
    <w:rsid w:val="3B0F7CBC"/>
    <w:rsid w:val="3B275F4B"/>
    <w:rsid w:val="3E015FF2"/>
    <w:rsid w:val="3E4F32EC"/>
    <w:rsid w:val="3E5157CB"/>
    <w:rsid w:val="3E6D1EE0"/>
    <w:rsid w:val="40130CAF"/>
    <w:rsid w:val="40490B34"/>
    <w:rsid w:val="420E65EA"/>
    <w:rsid w:val="42BF1B92"/>
    <w:rsid w:val="435E2995"/>
    <w:rsid w:val="43966372"/>
    <w:rsid w:val="44EF43A5"/>
    <w:rsid w:val="46AE2EAA"/>
    <w:rsid w:val="47D32116"/>
    <w:rsid w:val="48832749"/>
    <w:rsid w:val="493C6A78"/>
    <w:rsid w:val="49AB2DE5"/>
    <w:rsid w:val="4A0D21C2"/>
    <w:rsid w:val="4A0E06F8"/>
    <w:rsid w:val="4B1A7BD1"/>
    <w:rsid w:val="4BB038DA"/>
    <w:rsid w:val="4C73767A"/>
    <w:rsid w:val="4D030046"/>
    <w:rsid w:val="4D871781"/>
    <w:rsid w:val="4E802F1D"/>
    <w:rsid w:val="4EF042FA"/>
    <w:rsid w:val="4FAF448B"/>
    <w:rsid w:val="50417986"/>
    <w:rsid w:val="50F73FA0"/>
    <w:rsid w:val="515E18DF"/>
    <w:rsid w:val="51765D9A"/>
    <w:rsid w:val="517D0941"/>
    <w:rsid w:val="521C7398"/>
    <w:rsid w:val="52446C35"/>
    <w:rsid w:val="527E16D3"/>
    <w:rsid w:val="52C14E18"/>
    <w:rsid w:val="5316709E"/>
    <w:rsid w:val="534B7B17"/>
    <w:rsid w:val="56E07198"/>
    <w:rsid w:val="57221F02"/>
    <w:rsid w:val="57960F83"/>
    <w:rsid w:val="57DB3B40"/>
    <w:rsid w:val="58733762"/>
    <w:rsid w:val="58A15BF6"/>
    <w:rsid w:val="590772D6"/>
    <w:rsid w:val="59D75C73"/>
    <w:rsid w:val="5AA4447D"/>
    <w:rsid w:val="5BBF6D32"/>
    <w:rsid w:val="5C02364F"/>
    <w:rsid w:val="5C4A6C71"/>
    <w:rsid w:val="5CA61E20"/>
    <w:rsid w:val="5D9E05A7"/>
    <w:rsid w:val="5DF96E76"/>
    <w:rsid w:val="5E0F059C"/>
    <w:rsid w:val="5E385608"/>
    <w:rsid w:val="5EB9237C"/>
    <w:rsid w:val="5F0458F0"/>
    <w:rsid w:val="5FE226DD"/>
    <w:rsid w:val="60C33852"/>
    <w:rsid w:val="61547E11"/>
    <w:rsid w:val="61852A60"/>
    <w:rsid w:val="62567581"/>
    <w:rsid w:val="631F4682"/>
    <w:rsid w:val="63D4721D"/>
    <w:rsid w:val="640673E3"/>
    <w:rsid w:val="64467711"/>
    <w:rsid w:val="64E752C4"/>
    <w:rsid w:val="65F729C7"/>
    <w:rsid w:val="66934D57"/>
    <w:rsid w:val="66A27154"/>
    <w:rsid w:val="66A80E51"/>
    <w:rsid w:val="677551D7"/>
    <w:rsid w:val="698D373B"/>
    <w:rsid w:val="69FD1FFD"/>
    <w:rsid w:val="6A2B5BCA"/>
    <w:rsid w:val="6AA75C6E"/>
    <w:rsid w:val="6BB31049"/>
    <w:rsid w:val="6BF15785"/>
    <w:rsid w:val="6CF430F2"/>
    <w:rsid w:val="6D3C0639"/>
    <w:rsid w:val="6DB96BEC"/>
    <w:rsid w:val="6F321DFD"/>
    <w:rsid w:val="6F575DD1"/>
    <w:rsid w:val="70155795"/>
    <w:rsid w:val="702E6762"/>
    <w:rsid w:val="70314EAA"/>
    <w:rsid w:val="706B3AE0"/>
    <w:rsid w:val="70A15D8A"/>
    <w:rsid w:val="71270FB3"/>
    <w:rsid w:val="71E07B02"/>
    <w:rsid w:val="71F66174"/>
    <w:rsid w:val="72C34258"/>
    <w:rsid w:val="73CE218C"/>
    <w:rsid w:val="74AA472D"/>
    <w:rsid w:val="768165E1"/>
    <w:rsid w:val="7877791A"/>
    <w:rsid w:val="79DA1D09"/>
    <w:rsid w:val="7A182199"/>
    <w:rsid w:val="7A644061"/>
    <w:rsid w:val="7AE1770B"/>
    <w:rsid w:val="7B114A31"/>
    <w:rsid w:val="7D0F483D"/>
    <w:rsid w:val="7E004848"/>
    <w:rsid w:val="7E37366F"/>
    <w:rsid w:val="7ED6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 w:type="character" w:customStyle="1" w:styleId="50">
    <w:name w:val="font132"/>
    <w:basedOn w:val="26"/>
    <w:qFormat/>
    <w:uiPriority w:val="0"/>
    <w:rPr>
      <w:rFonts w:hint="eastAsia" w:ascii="黑体" w:hAnsi="宋体" w:eastAsia="黑体" w:cs="黑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230</Words>
  <Characters>233</Characters>
  <Lines>0</Lines>
  <Paragraphs>0</Paragraphs>
  <TotalTime>2</TotalTime>
  <ScaleCrop>false</ScaleCrop>
  <LinksUpToDate>false</LinksUpToDate>
  <CharactersWithSpaces>353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cp:lastModifiedBy>
  <cp:lastPrinted>2023-11-07T01:59:00Z</cp:lastPrinted>
  <dcterms:modified xsi:type="dcterms:W3CDTF">2025-05-22T01:32:38Z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D5667AE5BEEB43179266D1E5A5A6DCE5_13</vt:lpwstr>
  </property>
  <property fmtid="{D5CDD505-2E9C-101B-9397-08002B2CF9AE}" pid="4" name="KSOTemplateDocerSaveRecord">
    <vt:lpwstr>eyJoZGlkIjoiMTdmMDNkNWQ0ZWMxNjY0YzI3ODdkN2UzOWY5OGRlNzEifQ==</vt:lpwstr>
  </property>
</Properties>
</file>