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bookmarkStart w:id="0" w:name="_GoBack"/>
      <w:bookmarkEnd w:id="0"/>
    </w:p>
    <w:p>
      <w:pPr>
        <w:rPr>
          <w:rFonts w:hint="eastAsia"/>
          <w:lang w:val="en-US" w:eastAsia="zh-CN"/>
        </w:rPr>
      </w:pPr>
    </w:p>
    <w:p>
      <w:pPr>
        <w:pStyle w:val="5"/>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5"/>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5"/>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监控设备询价文件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4"/>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5"/>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4"/>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2.3、营业执照</w:t>
      </w:r>
    </w:p>
    <w:tbl>
      <w:tblPr>
        <w:tblStyle w:val="20"/>
        <w:tblW w:w="1427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695"/>
        <w:gridCol w:w="4620"/>
        <w:gridCol w:w="1327"/>
        <w:gridCol w:w="743"/>
        <w:gridCol w:w="863"/>
        <w:gridCol w:w="1407"/>
        <w:gridCol w:w="1607"/>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询价单位</w:t>
            </w:r>
          </w:p>
        </w:tc>
        <w:tc>
          <w:tcPr>
            <w:tcW w:w="5947" w:type="dxa"/>
            <w:gridSpan w:val="2"/>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江苏省淮安市保安服务有限公司</w:t>
            </w:r>
          </w:p>
        </w:tc>
        <w:tc>
          <w:tcPr>
            <w:tcW w:w="1606"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报价单位</w:t>
            </w:r>
          </w:p>
        </w:tc>
        <w:tc>
          <w:tcPr>
            <w:tcW w:w="4438"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cs="宋体"/>
                <w:i w:val="0"/>
                <w:iCs w:val="0"/>
                <w:color w:val="FF0000"/>
                <w:kern w:val="0"/>
                <w:sz w:val="22"/>
                <w:szCs w:val="22"/>
                <w:u w:val="none"/>
                <w:lang w:val="en-US" w:eastAsia="zh-CN" w:bidi="ar"/>
              </w:rPr>
              <w:t xml:space="preserve">                       </w:t>
            </w:r>
            <w:r>
              <w:rPr>
                <w:rFonts w:hint="eastAsia" w:ascii="宋体" w:hAnsi="宋体" w:eastAsia="宋体" w:cs="宋体"/>
                <w:i w:val="0"/>
                <w:iCs w:val="0"/>
                <w:color w:val="FF0000"/>
                <w:kern w:val="0"/>
                <w:sz w:val="22"/>
                <w:szCs w:val="22"/>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w:t>
            </w: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联系人</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电话</w:t>
            </w: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电话</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邮箱</w:t>
            </w:r>
          </w:p>
        </w:tc>
        <w:tc>
          <w:tcPr>
            <w:tcW w:w="5947"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t>HABAccb@163.com</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邮箱</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报价日期</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设备名称</w:t>
            </w:r>
          </w:p>
        </w:tc>
        <w:tc>
          <w:tcPr>
            <w:tcW w:w="59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设备参数</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数量</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金额（元）</w:t>
            </w:r>
          </w:p>
        </w:tc>
        <w:tc>
          <w:tcPr>
            <w:tcW w:w="14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是否满足</w:t>
            </w:r>
          </w:p>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9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合价</w:t>
            </w:r>
          </w:p>
        </w:tc>
        <w:tc>
          <w:tcPr>
            <w:tcW w:w="14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Style w:val="24"/>
                <w:sz w:val="21"/>
                <w:szCs w:val="21"/>
                <w:lang w:val="en-US" w:eastAsia="zh-CN" w:bidi="ar"/>
              </w:rPr>
              <w:t>900万电子警察抓拍一体化摄像机（含网络防雷、镜头、防护罩等）</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大华/DH-CP902-RU5G</w:t>
            </w:r>
          </w:p>
          <w:p>
            <w:pPr>
              <w:keepNext w:val="0"/>
              <w:keepLines w:val="0"/>
              <w:widowControl/>
              <w:suppressLineNumbers w:val="0"/>
              <w:spacing w:line="240" w:lineRule="auto"/>
              <w:ind w:left="0" w:leftChars="0" w:firstLine="0" w:firstLineChars="0"/>
              <w:jc w:val="left"/>
              <w:textAlignment w:val="center"/>
              <w:rPr>
                <w:rFonts w:hint="default"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包含高清一体化嵌入式摄像机、高清镜头、室外防护罩、万向节支架、摄像机内置网络信号防雷器、风扇、电源适配器等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1、传感器:≥1 英寸；</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2、★分辨率:≥4096×2160（</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3、★帧率:≥25 帧/秒（</w:t>
            </w:r>
            <w:r>
              <w:rPr>
                <w:rStyle w:val="25"/>
                <w:sz w:val="21"/>
                <w:szCs w:val="21"/>
                <w:lang w:val="en-US" w:eastAsia="zh-CN" w:bidi="ar"/>
              </w:rPr>
              <w:t>投标人参加投标时，提供公安部检测机构出具的检测报告扫描件加盖供应商公章装订标书正本中，未提供的作为无效投标处理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4、具有线圈+视频切换方式检测、线圈+视频混合检测，本次采用视 频检测抓拍；</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5、摄像机内置红绿灯状态视频检测、车辆视频检测、车牌识别、视 频测速、车身颜色识别、车标识别功能；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6、摄像机内置交通行为识别功能，具备机动车不按车道行驶、不按 交通信号灯规定通行、不按导向箭头指示通行交通安全违法行为的识别 和记录功能。具备监控范围内违法停车、倒车、逆行、压线行驶、不按 指示车道通行交通安违法行为的识别与记录功能；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7、识别功能:具备车辆号牌识别功能；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8、★具有车牌识别功能，白天、夜晚车牌识别准确率≥95%（</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9、具有车辆捕获功能，白天准确率≥95%，晚上捕获率≥90%；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10、具有自动区分机动车（不含摩托车）、二轮车（摩托车、自行车， 电动二轮车）、三轮车和行人，类型区分准确率≥90%，非机动车、行人 捕获率白天、晚上≥92%；</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11、具有违法变道抓拍，实测捕获率白天≥98%，晚上≥95%；准确率 白天≥98%，晚上≥95%；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12、具有驾驶员打电话识别功能，识别准确率≥95%；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13、★具有不低于 13 种车身颜色识别，包括:黑、白、灰、红、绿、蓝、黄、粉、紫、棕、青、金、橙,白天准确率≥95%，晚上准确率≥90%（</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14、具有黄网格区域内违停检测，捕获率≥95%；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15、具有机动车占用非机动车道抓拍，白天≥98%，晚上≥95%；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16、具有未系安全带检测，白天识别准确率≥98%，晚上识别准确率≥95%；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17、具有违法占用专用车道抓拍，白天捕获率≥98%，晚上捕获率≥95%；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18、具有变道抓拍，白天捕获率≥98%，晚上捕获率≥95%；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19、具有超速车辆抓拍，白天捕获率≥98%，晚上捕获率≥95%；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20、具有欠速车辆抓拍，白天捕获率≥98%，晚上捕获率≥95%；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21、具有不低于 8 种常见车型识别，包括大客车、中型客车、大货 车、中型货车、小货车、面包车、轿车及 SUV、MPV 等，日间车型识别率≥95%；夜间车型识别率≥90%；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22、具有新能源车牌识别；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23、人脸加强功能；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24、具有倾斜车牌识别；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25、具有对车牌的顺光、逆光亮度补偿设置；</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26、具有后备箱开启状态识别功能；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27、具有检测抓拍车辆不按规定使用转向灯违法功能；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28、具有非机动车占用机动车道违法抓拍；</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29、视频压缩具有 H.265、H.264、M-JPEG；</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30、输出图片格式:JPEG；</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31、具有 GPS 及北斗定位，具有卫星校时；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32、具有内置滤光片自动切换，可自动切换夜间使用的滤光片或白天使用的带偏振功能的滤光片；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33）包含高清镜头、室外防护罩、防雷（含网络和电源）防雷设备；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34）★满足GA/T496-2014《闯红灯自动记录系统通用技术条件》、GA/T 832-2014《道路交通安全违法行为图像取证技术规范》相关要求（</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35）★符合《公共安全视频监控联网信息安全技术要求》（GB35114-2017）安全能力等级达到A级相关要求（</w:t>
            </w:r>
            <w:r>
              <w:rPr>
                <w:rStyle w:val="25"/>
                <w:sz w:val="21"/>
                <w:szCs w:val="21"/>
                <w:lang w:val="en-US" w:eastAsia="zh-CN" w:bidi="ar"/>
              </w:rPr>
              <w:t>投标人参加投标时，提供承诺函加盖供应商公章装订标书正本中，未提供的作为无效投标处理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900万生态环保卡口抓拍一体化摄像机（含网络防雷、镜头、防护罩等）</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大华/DH-CP902-YGSL</w:t>
            </w:r>
          </w:p>
          <w:p>
            <w:pPr>
              <w:keepNext w:val="0"/>
              <w:keepLines w:val="0"/>
              <w:widowControl/>
              <w:suppressLineNumbers w:val="0"/>
              <w:spacing w:line="240" w:lineRule="auto"/>
              <w:ind w:left="0" w:leftChars="0" w:firstLine="0" w:firstLineChars="0"/>
              <w:jc w:val="left"/>
              <w:textAlignment w:val="center"/>
              <w:rPr>
                <w:rFonts w:hint="default"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包含高清一体化嵌入式摄像机、高清镜头、室外防护罩、相机内置网络信号防雷器、风扇、电源适配器等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1)传感器:≥1英寸GMOS图像传感器，内置GPU芯片；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2)★分辨率:≥4096×2160（</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3)★帧率:≥25帧/秒（</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4)具有线圈+视频切换方式检测、线圈+视频混合检测，本次采用视频检测抓拍；</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5)摄像机内置红绿灯状态视频检测、车辆视频检测、车牌识别、视频测速、车身颜色识别、车标识别功能；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摄像机内置交通行为识别功能，具备机动车不按车道行驶、不按交通信号灯规定通行、不按导向箭头指示通行交通安全违法行为的识别和记录功能。具备监控范围内违法停车、倒车、逆行、压线行驶、不按指示车道通行交通安违法行为的识别与记录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7)识别功能:具备车辆号牌识别功能；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8)★具有车牌识别功能，白天、夜晚车牌识别准确率≥95%（</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 9）可以采集黑白图像和彩色图像并融合显示；全天候输出彩色图像；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10)具有自动区分机动车（不含摩托车）、二轮车（摩托车、自行车，电动二轮车）、三轮车和行人，类型区分准确率≥90%，非机动车、行人捕获率白天、晚上≥92%；</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11)具有违法变道抓拍，实测捕获率白天≥98%，晚上≥95%；准确率白天≥98%，晚上≥95%；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12)具有驾驶员打电话识别功能，识别准确率≥95%；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13)★具有不低于13种车身颜色识别，包括:黑、白、灰、红、绿、蓝、黄、粉、紫、棕、青、金、橙,白天准确率≥95%，晚上准确率≥90%（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14）★具有配置爆闪灯白天和夜晚两种模式，可设置时间自动切换日夜模式，白天为白光，夜晚为红外（</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15）具有机动车占用非机动车道抓拍，白天≥98%，晚上≥95%；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16）具有未系安全带检测，白天识别准确率≥98%，晚上识别准确率≥95%；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17）具有违法占用专用车道抓拍，白天捕获率≥98%，晚上捕获率≥95%；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18）具有变道抓拍，白天捕获率≥98%，晚上捕获率≥95%；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19）具有超速车辆抓拍，白天捕获率≥98%，晚上捕获率≥95%；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20）具有欠速车辆抓拍，白天捕获率≥98%，晚上捕获率≥95%；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21）具有不低于8种常见车型识别，包括大客车、中型客车、大货车、中型货车、小货车、面包车、轿车及SUV、MPV等，日间车型识别率≥95%；夜间车型识别率≥90%；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22）具有新能源车牌识别；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23）★可对监视画面人脸进行检测、跟踪和抓拍，人脸抠图，实现车道全覆盖，确保每车道均可获取车辆号牌及清晰的驾乘人员人脸图片（</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24）具有倾斜车牌识别；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25）具有对车牌的顺光、逆光亮度补偿设置；</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26）★具有非机动车不带头盔、不按交通信号通行、载人、逆向行驶、驶入机动车车道等违法行为抓拍（</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27）具有检测抓拍车辆不按规定使用转向灯违法功能；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28）视频压缩具有H.265、H.264、M-JPEG；</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29) 输出图片格式:JPEG；</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30）具有内置滤光片自动切换，可自动切换夜间使用的滤光片或白天使用的带偏振功能的滤光片；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31）包含高清镜头、室外防护罩、防雷（含网络和电源）防雷设备；其中高清镜头靶面尺寸与摄像机配套一致；室外防护罩不低于18寸，内置风冷加热；</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32）★满足GA/T496-2014《闯红灯自动记录系统通用技术条件》、GA/T 832-2014《道路交通安全违法行为图像取证技术规范》相关要求（投标人参加投标时，提供公安部检测机构出具的检测报告加盖供应商公章装订标书正本中，未提供的作为无效投标处理）；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33）★符合《公共安全视频监控联网信息安全技术要求》（GB35114-2017）安全能力等级达到A级相关要求（</w:t>
            </w:r>
            <w:r>
              <w:rPr>
                <w:rStyle w:val="25"/>
                <w:sz w:val="21"/>
                <w:szCs w:val="21"/>
                <w:lang w:val="en-US" w:eastAsia="zh-CN" w:bidi="ar"/>
              </w:rPr>
              <w:t>投标人参加投标时，提供承诺函加盖供应商公章装订标书正本中，未提供的作为无效投标处理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34）环保要求：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  1）★内置独立的三角分光器装置，分别接收（提取）红外细节信息和可见路的色彩信息（</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  2）具有输出三张同时刻目标抓拍图片，包括可见光图片（全彩）、红外图片（黑白）以及融合图片（全彩），三张图片抓拍时间为同一时刻，图片中运动目标位置相同；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  3)具有同时预览两路传感器视频，设备场景中放置红外LED常亮灯朝向摄像机镜头进行测试，可见光视频预览中显示红外LED常亮补光灯灯珠无光，同时红外视频预览中可清晰显示红外LED常亮补光灯灯珠亮光。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智能跟踪球机（含U型支架）</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大华/DH-SD-8A1433-HNT-XA-E</w:t>
            </w:r>
          </w:p>
          <w:p>
            <w:pPr>
              <w:keepNext w:val="0"/>
              <w:keepLines w:val="0"/>
              <w:widowControl/>
              <w:suppressLineNumbers w:val="0"/>
              <w:spacing w:line="240" w:lineRule="auto"/>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1、摄像机靶面尺寸:≥1/1.8英寸；</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2、★分辨率≥2560×1440像素（</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3、光学变倍:≥32倍；</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4、最低照度:彩色≤0.0002Lux，黑白≤0.0001Lux</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5、信噪比≥57dB；</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6、网络延时≤110ms；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7、支持透雾、强光抑制、电子防抖、数字降噪功能；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8、支持宽动态≥105dB；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9、支持300个预置位，支持18条巡航扫描，支持7条以上的模式路径设置，支持预置点视频冻结功能；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10、支持三码流同时输出，主码流、第三码流同时支持2048×1536@30fps，1920×1080@60fps，1280×720@60fps；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11、支持区域入侵、越界入侵、徘徊、物品遗留、物品移除、音频异常、人脸检测、人员聚集、快速移动、进入区域、离开区域，并联动报警；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12、支持车牌识别，同时可在抓拍图片上叠加设备编号、抓拍时间、车牌号码、车辆颜色、车辆类型等信息；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13、支持经纬度显示功能和方位角度信息显示功能；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14、支持违章停车、掉头、压线抓拍、违法变道、逆行抓拍、道路拥堵、机动车占用非机动车抓拍等功能，并可对逆行、压线、变道、掉头、占用非机动车道的机动车辆进行自动或手动跟踪并识别车牌号码；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15、白天有效检测距离不小于200米;</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16、白天和夜晚捕获率≥95%；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17、支持违法停车抓拍间隔功能设置，对触发违法停车的同一辆车，在设定的时间间隔内不会重复抓拍；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18、支持16个预置违法检测场景，每个场景内可设置8条违法检测规则；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19、可对违法停车行为进行手动抓拍并生成违法停车图片；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21、ftp存储文件夹名称可按设备编号、违法代码、违法名称、抓拍时间、车牌号码、车牌颜色、车牌类型等信息内容自由组合设置。</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22、★符合《公共安全视频监控联网信息安全技术要求》（GB35114-2017）安全能力等级达到A级相关要求（</w:t>
            </w:r>
            <w:r>
              <w:rPr>
                <w:rStyle w:val="25"/>
                <w:sz w:val="21"/>
                <w:szCs w:val="21"/>
                <w:lang w:val="en-US" w:eastAsia="zh-CN" w:bidi="ar"/>
              </w:rPr>
              <w:t>投标人参加投标时，提供承诺函加盖供应商公章装订标书正本中，未提供的作为无效投标处理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400万全景低照度摄像机</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大华/DH-CP435-RU1F-ZF1030-C2</w:t>
            </w:r>
          </w:p>
          <w:p>
            <w:pPr>
              <w:keepNext w:val="0"/>
              <w:keepLines w:val="0"/>
              <w:widowControl/>
              <w:suppressLineNumbers w:val="0"/>
              <w:spacing w:line="240" w:lineRule="auto"/>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包含高清一体化嵌入式摄像机、高清镜头、室外防护罩、相机内置网络信号防雷器、风扇、电源适配器等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1、摄像机内置靶面尺寸为1/1.8"</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2、镜头支持自动变焦、自动调节光圈及ABF按键一键聚焦功能；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3、★分辨率≥2560×1440像素（</w:t>
            </w:r>
            <w:r>
              <w:rPr>
                <w:rStyle w:val="25"/>
                <w:sz w:val="21"/>
                <w:szCs w:val="21"/>
                <w:lang w:val="en-US" w:eastAsia="zh-CN" w:bidi="ar"/>
              </w:rPr>
              <w:t>投标人参加投标时，提供公安部检测机构出具的检测报告加盖供应商公章装订标书正本中，未提供的作为无效投标处理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4、最低照度彩色：0.0004lux，黑白：0.0001lux；</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5、信噪比不小于60dB，宽动态不小于105dB，照度适应范围不小于130dB；</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6、支持IP地址获取和IP地址搜索功能；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7、支持车牌捕获功能；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8、支持车牌识别功能，白天和晚上识别率都不低于99%；</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9、支持车流量统计功能，白天和晚上车流量统计准确率都不低于98%；</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10、摄像机能够在-40~70摄氏度，湿度小于93%环境下稳定工作。</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11、具有1个RJ45网络接口、1个CVBS视频输出接口、1个内置麦克风、1个RS485接口、1个RS232接口、1个SD卡插槽、1个RESET按键、1个ABF按键。</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12、高清镜头靶面尺寸与摄像机匹配，镜头焦距根据现场情况定，镜头支持自动变焦、自动调节光圈功能；室外防护罩不低于18寸，内置风冷加热。</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13、★符合《公共安全视频监控联网信息安全技术要求》（GB35114-2017）安全能力等级达到A级相关要求（</w:t>
            </w:r>
            <w:r>
              <w:rPr>
                <w:rStyle w:val="25"/>
                <w:sz w:val="21"/>
                <w:szCs w:val="21"/>
                <w:lang w:val="en-US" w:eastAsia="zh-CN" w:bidi="ar"/>
              </w:rPr>
              <w:t>投标人参加投标时，提供承诺函加盖供应商公章装订标书正本中，未提供的作为无效投标处理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信号检测器</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大华/DH-ITASD-020RA</w:t>
            </w:r>
          </w:p>
          <w:p>
            <w:pPr>
              <w:keepNext w:val="0"/>
              <w:keepLines w:val="0"/>
              <w:widowControl/>
              <w:suppressLineNumbers w:val="0"/>
              <w:spacing w:line="240" w:lineRule="auto"/>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1、信号灯状态输入≥16路，支持16路信号灯状态通断检测，同时对应指示灯显示；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2、RS485口输出4路，RS232接口1路；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3、支持扫描端口红绿灯状态功能；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4、具备八位拨码开关，支持红/绿灯信号检测模式切换，支持4种波特率设置；</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5、抓 拍 主 机 与 检 测 器 通 过 RS485 单 工 通 信 ， 通 信 波 特 率 可 配 置 (4800 ，9600，19200，38400，115200bps)；</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6、电压检测范围:至少 AC220 +- 20%，50+2%HZ 外壳带接地孔；</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7、外接电源开关控制；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8、支持 10/100Mbps 以太网。</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LED频闪灯</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大华/DH-ITALE-060AA-PW3515</w:t>
            </w:r>
          </w:p>
          <w:p>
            <w:pPr>
              <w:keepNext w:val="0"/>
              <w:keepLines w:val="0"/>
              <w:widowControl/>
              <w:suppressLineNumbers w:val="0"/>
              <w:spacing w:line="240" w:lineRule="auto"/>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 xml:space="preserve">1、色温:6500～7000k；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2、频率:50Hz～60Hz 自适应；</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3、显色指数:75%；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4、LED 芯片数量:≥16 颗；</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5、瞬时功率:≥80W；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6、均功率:≤35W；</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7、频闪接口:1 路频闪触发输入，多盏灯同步使用只需将输入线直接一一并接；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8、入电压:AC 176-264V；</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9、功率因数:≥90%；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10、工作温度:-30℃～+70℃；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11、工作方式:相机帧同步信号触发补光灯频闪；</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12、灯具壳体材质:铸铝合金和钢化玻璃；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13、防护等级:IP66；</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14、每车道一台；用于电子警察摄像机的夜间录像照明。</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15、符合GA/T1202-2022《交通技术监控成像补光装置通用技术条件》要求。</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多功能闪光灯</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大华/DH-ITALF-300AG-E</w:t>
            </w:r>
          </w:p>
          <w:p>
            <w:pPr>
              <w:keepNext w:val="0"/>
              <w:keepLines w:val="0"/>
              <w:widowControl/>
              <w:suppressLineNumbers w:val="0"/>
              <w:spacing w:line="240" w:lineRule="auto"/>
              <w:ind w:left="0" w:leftChars="0" w:firstLine="0" w:firstLineChars="0"/>
              <w:jc w:val="left"/>
              <w:textAlignment w:val="center"/>
              <w:rPr>
                <w:rFonts w:hint="default"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1、红外白光爆闪补光一体灯，搭配高清摄像机使用；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2、模式：白天/可见光，夜间/红外光；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3、闪光间隔：65ms；</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4、支持LED频闪补光，爆闪补光，红外爆闪补光；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5、最佳拍摄距离：18-28m；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6、闪光寿命：1000万次以上；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7、滤光片切换与控制：电平量；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8、工作环境：-25～+70℃/20%～90%；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9、电源：220V AC；</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10、每个车道配一台，用于卡口摄像机抓拍，夜间录像照明。</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11、符合GA/T1202-2022《交通技术监控成像补光装置通用技术条件》要求。</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终端主机</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大华/DH-ITSE0400-TA-N04</w:t>
            </w:r>
          </w:p>
          <w:p>
            <w:pPr>
              <w:keepNext w:val="0"/>
              <w:keepLines w:val="0"/>
              <w:widowControl/>
              <w:suppressLineNumbers w:val="0"/>
              <w:spacing w:line="240" w:lineRule="auto"/>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1、采用嵌入式Linux实时操作系统；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2、内置2块3.5寸2T硬盘；</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3、具有3.5/2.5英寸SATA硬盘接口≥4个；</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4、接入≥12路高清网络摄像机；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5、具有通过VGA、HDMI进行图片、视频实时预览，具有历时图片查看；</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6、具有图片、录像远程查询、备份功能；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7、导出的录像和图片含有数字水印信息，具有水印设置验证图片是否被篡改；</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8、具有数据上传功能；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9、具有记录信息自动循环覆盖；</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10、具有对车辆违法全过程进行片段录像，并能实现违法片段录像回放；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11、具有各违章图片合成，具有合成顺序及特写位置选择；</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12、具有视频中叠加通道信息、日期时间信息，具有在图片上叠加车牌、车道、违章类型等信息；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13、具有数据传输可在光纤接口和网络接口之间实现切换，不需要重启设备；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14、具有远程登录功能；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15、具有选择合成图片的分辨率、具有区分通道分别设置合成图片的大小、具有根据选择的原始图序号进行特写放大、具有根据实际场景分别设置大车和小车的合成特写图片的放大倍数、具有前后套牌抓拍，合成抓拍车头和车尾的卡口图片、具有匹配前端卡口和电警，实现违章与卡口合成，合成方式四合一、六合一可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16、具有区间测速功能；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17、具有显示连接在1~8网口上的前端设备IP和设备名称等信息；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18、具有断网续传功能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19、具有本地备份功能，可通过eSATA和USB接口备份图片及录像数据</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20、网络接口:100M网口≥8个 ，1000M网口≥2个；</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21、接口:HDMI接口≥1个、VGA接口≥1个、eSATA接口≥1个，RS232接口≥2个、RS485接口≥4个、报警输入接口≥4个、报警输出接口≥4个、音频输入接口≥1个、音频输出接口≥1个、USB接口≥2个；</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i w:val="0"/>
                <w:iCs w:val="0"/>
                <w:color w:val="000000"/>
                <w:sz w:val="21"/>
                <w:szCs w:val="21"/>
                <w:lang w:val="en-US" w:eastAsia="zh-CN" w:bidi="ar"/>
              </w:rPr>
              <w:t>存储节点服务器</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大华/DH-CSS7348S-VR10G</w:t>
            </w:r>
          </w:p>
          <w:p>
            <w:pPr>
              <w:keepNext w:val="0"/>
              <w:keepLines w:val="0"/>
              <w:widowControl/>
              <w:suppressLineNumbers w:val="0"/>
              <w:spacing w:line="240" w:lineRule="auto"/>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（1）满足本项目新建前端点位的视频和图片存储要求，</w:t>
            </w:r>
            <w:r>
              <w:rPr>
                <w:rStyle w:val="25"/>
                <w:sz w:val="21"/>
                <w:szCs w:val="21"/>
                <w:lang w:val="en-US" w:eastAsia="zh-CN" w:bidi="ar"/>
              </w:rPr>
              <w:t>与淮安市公安局现有云存储系统存储节点盘位一致，云存储存储节点须与淮安市公安局现有云存储系统无缝对接</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（2）CPU：≥2 颗 E5-2620v4(8 核，主频 2.1GHZ，缓存 20M)；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（3）内存：≥32G；</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（4）硬盘配备：≥2 块 800GB SAS 硬盘，≥48 块 8TB 3.5 寸企业级硬盘（转速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≥7200）；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（5）Raid：≥1 块 1GB 八通道高性能 RAID 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（6）网卡：≥2 个千兆电口，≥2 个万兆光口（含光模块）；</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（7）电源：≥1+1 冗余电源，满配散热风扇，含操作系统；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（8）提供服务期内硬盘不返还服务。</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w:t>
            </w:r>
          </w:p>
        </w:tc>
        <w:tc>
          <w:tcPr>
            <w:tcW w:w="9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single"/>
                <w:lang w:val="en-US" w:eastAsia="zh-CN" w:bidi="ar"/>
              </w:rPr>
              <w:t xml:space="preserve">            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4271" w:type="dxa"/>
            <w:gridSpan w:val="9"/>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480" w:firstLineChars="2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FF0000"/>
                <w:kern w:val="0"/>
                <w:sz w:val="24"/>
                <w:szCs w:val="24"/>
                <w:u w:val="none"/>
                <w:lang w:val="en-US" w:eastAsia="zh-CN" w:bidi="ar"/>
              </w:rPr>
              <w:t>以上报价含可抵扣的增值税专用发票、运费以及相关服务费用。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三年</w:t>
            </w: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rPr>
              <w:t>合同签订后个7日内支付</w:t>
            </w:r>
            <w:r>
              <w:rPr>
                <w:rFonts w:hint="eastAsia" w:ascii="黑体" w:hAnsi="宋体" w:eastAsia="黑体" w:cs="黑体"/>
                <w:i w:val="0"/>
                <w:iCs w:val="0"/>
                <w:color w:val="FF0000"/>
                <w:sz w:val="24"/>
                <w:szCs w:val="24"/>
                <w:u w:val="none"/>
                <w:lang w:val="en-US" w:eastAsia="zh-CN"/>
              </w:rPr>
              <w:t>2</w:t>
            </w:r>
            <w:r>
              <w:rPr>
                <w:rFonts w:hint="eastAsia" w:ascii="黑体" w:hAnsi="宋体" w:eastAsia="黑体" w:cs="黑体"/>
                <w:i w:val="0"/>
                <w:iCs w:val="0"/>
                <w:color w:val="FF0000"/>
                <w:sz w:val="24"/>
                <w:szCs w:val="24"/>
                <w:u w:val="none"/>
              </w:rPr>
              <w:t>0%预付款，货到验收合格后3个月内付清其余的货款。</w:t>
            </w:r>
          </w:p>
        </w:tc>
      </w:tr>
    </w:tbl>
    <w:p>
      <w:pPr>
        <w:pStyle w:val="14"/>
        <w:rPr>
          <w:rFonts w:hint="eastAsia"/>
        </w:rPr>
        <w:sectPr>
          <w:pgSz w:w="16838" w:h="11906" w:orient="landscape"/>
          <w:pgMar w:top="1800" w:right="1440" w:bottom="1800" w:left="1440" w:header="851" w:footer="992" w:gutter="0"/>
          <w:cols w:space="425" w:num="1"/>
          <w:docGrid w:type="lines" w:linePitch="312" w:charSpace="0"/>
        </w:sectPr>
      </w:pPr>
    </w:p>
    <w:p>
      <w:pPr>
        <w:pStyle w:val="2"/>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0"/>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1、合同签订后个7日内支付20%预付款，货到验收合格后3个月内付清其余的货款。</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5"/>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5"/>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auto"/>
          <w:sz w:val="24"/>
          <w:szCs w:val="24"/>
          <w:highlight w:val="green"/>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2"/>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ZTYyNjg3YmZhODEyMzFkMjcxZGE4YWEyZDQ2MTgifQ=="/>
  </w:docVars>
  <w:rsids>
    <w:rsidRoot w:val="1F741D8C"/>
    <w:rsid w:val="00F471B2"/>
    <w:rsid w:val="02BD280C"/>
    <w:rsid w:val="02BD7BE0"/>
    <w:rsid w:val="03626CD0"/>
    <w:rsid w:val="03BB36BB"/>
    <w:rsid w:val="06E65ABA"/>
    <w:rsid w:val="082F30B8"/>
    <w:rsid w:val="0BC2638F"/>
    <w:rsid w:val="0BDC6B78"/>
    <w:rsid w:val="0D78696A"/>
    <w:rsid w:val="0DBF30C4"/>
    <w:rsid w:val="100159F1"/>
    <w:rsid w:val="10941E2C"/>
    <w:rsid w:val="138B678C"/>
    <w:rsid w:val="15B405D8"/>
    <w:rsid w:val="180057C5"/>
    <w:rsid w:val="193251CA"/>
    <w:rsid w:val="1B811C42"/>
    <w:rsid w:val="1CBE542C"/>
    <w:rsid w:val="1E434544"/>
    <w:rsid w:val="1F741D8C"/>
    <w:rsid w:val="1FC0011B"/>
    <w:rsid w:val="228E625A"/>
    <w:rsid w:val="245503E6"/>
    <w:rsid w:val="25DE44B5"/>
    <w:rsid w:val="264801BD"/>
    <w:rsid w:val="26A67AF4"/>
    <w:rsid w:val="292E08DE"/>
    <w:rsid w:val="2B9E5DD1"/>
    <w:rsid w:val="2E1B2848"/>
    <w:rsid w:val="300D6BCC"/>
    <w:rsid w:val="31140310"/>
    <w:rsid w:val="345319C9"/>
    <w:rsid w:val="39963E4D"/>
    <w:rsid w:val="3F0874F8"/>
    <w:rsid w:val="420E65EA"/>
    <w:rsid w:val="46AE2EAA"/>
    <w:rsid w:val="48832749"/>
    <w:rsid w:val="4A0E06F8"/>
    <w:rsid w:val="4BB038DA"/>
    <w:rsid w:val="4E802F1D"/>
    <w:rsid w:val="50417986"/>
    <w:rsid w:val="5316709E"/>
    <w:rsid w:val="57DB3B40"/>
    <w:rsid w:val="5BBF6D32"/>
    <w:rsid w:val="5CA61E20"/>
    <w:rsid w:val="615A39BA"/>
    <w:rsid w:val="61852A60"/>
    <w:rsid w:val="62567581"/>
    <w:rsid w:val="69FD1FFD"/>
    <w:rsid w:val="6BB31049"/>
    <w:rsid w:val="6BF15785"/>
    <w:rsid w:val="6CF430F2"/>
    <w:rsid w:val="6F575DD1"/>
    <w:rsid w:val="70155795"/>
    <w:rsid w:val="71E07B02"/>
    <w:rsid w:val="73CE218C"/>
    <w:rsid w:val="79DA1D09"/>
    <w:rsid w:val="7A182199"/>
    <w:rsid w:val="7E37366F"/>
    <w:rsid w:val="7ED6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2">
    <w:name w:val="heading 1"/>
    <w:basedOn w:val="3"/>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1">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3">
    <w:name w:val="Title"/>
    <w:basedOn w:val="4"/>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4">
    <w:name w:val="toc 2"/>
    <w:basedOn w:val="1"/>
    <w:next w:val="1"/>
    <w:autoRedefine/>
    <w:qFormat/>
    <w:uiPriority w:val="1"/>
    <w:pPr>
      <w:ind w:left="596"/>
    </w:pPr>
    <w:rPr>
      <w:rFonts w:ascii="宋体" w:hAnsi="宋体" w:eastAsia="宋体"/>
      <w:sz w:val="24"/>
      <w:szCs w:val="24"/>
    </w:rPr>
  </w:style>
  <w:style w:type="paragraph" w:styleId="13">
    <w:name w:val="toa heading"/>
    <w:basedOn w:val="1"/>
    <w:next w:val="1"/>
    <w:autoRedefine/>
    <w:qFormat/>
    <w:uiPriority w:val="0"/>
    <w:pPr>
      <w:spacing w:before="120"/>
    </w:pPr>
    <w:rPr>
      <w:rFonts w:ascii="Arial" w:hAnsi="Arial"/>
      <w:sz w:val="24"/>
    </w:rPr>
  </w:style>
  <w:style w:type="paragraph" w:styleId="14">
    <w:name w:val="Body Text"/>
    <w:basedOn w:val="1"/>
    <w:next w:val="15"/>
    <w:autoRedefine/>
    <w:unhideWhenUsed/>
    <w:qFormat/>
    <w:uiPriority w:val="99"/>
    <w:pPr>
      <w:spacing w:after="120"/>
    </w:pPr>
    <w:rPr>
      <w:sz w:val="28"/>
    </w:rPr>
  </w:style>
  <w:style w:type="paragraph" w:styleId="15">
    <w:name w:val="Body Text First Indent"/>
    <w:basedOn w:val="1"/>
    <w:next w:val="16"/>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6">
    <w:name w:val="Body Text First Indent 2"/>
    <w:basedOn w:val="17"/>
    <w:next w:val="1"/>
    <w:autoRedefine/>
    <w:qFormat/>
    <w:uiPriority w:val="99"/>
  </w:style>
  <w:style w:type="paragraph" w:styleId="17">
    <w:name w:val="Body Text Indent"/>
    <w:basedOn w:val="1"/>
    <w:autoRedefine/>
    <w:qFormat/>
    <w:uiPriority w:val="99"/>
    <w:pPr>
      <w:spacing w:after="120"/>
      <w:ind w:left="420" w:leftChars="200"/>
    </w:pPr>
  </w:style>
  <w:style w:type="paragraph" w:styleId="18">
    <w:name w:val="Plain Text"/>
    <w:basedOn w:val="1"/>
    <w:autoRedefine/>
    <w:unhideWhenUsed/>
    <w:qFormat/>
    <w:uiPriority w:val="0"/>
    <w:rPr>
      <w:rFonts w:ascii="宋体" w:hAnsi="Courier New"/>
      <w:szCs w:val="20"/>
    </w:rPr>
  </w:style>
  <w:style w:type="paragraph" w:styleId="19">
    <w:name w:val="Normal (Web)"/>
    <w:basedOn w:val="1"/>
    <w:autoRedefine/>
    <w:qFormat/>
    <w:uiPriority w:val="0"/>
    <w:rPr>
      <w:sz w:val="24"/>
    </w:rPr>
  </w:style>
  <w:style w:type="character" w:styleId="22">
    <w:name w:val="Hyperlink"/>
    <w:basedOn w:val="21"/>
    <w:autoRedefine/>
    <w:qFormat/>
    <w:uiPriority w:val="0"/>
    <w:rPr>
      <w:color w:val="0000FF"/>
      <w:u w:val="single"/>
    </w:rPr>
  </w:style>
  <w:style w:type="paragraph" w:customStyle="1" w:styleId="23">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4">
    <w:name w:val="font11"/>
    <w:basedOn w:val="21"/>
    <w:uiPriority w:val="0"/>
    <w:rPr>
      <w:rFonts w:hint="eastAsia" w:ascii="仿宋" w:hAnsi="仿宋" w:eastAsia="仿宋" w:cs="仿宋"/>
      <w:color w:val="000000"/>
      <w:sz w:val="24"/>
      <w:szCs w:val="24"/>
      <w:u w:val="none"/>
    </w:rPr>
  </w:style>
  <w:style w:type="character" w:customStyle="1" w:styleId="25">
    <w:name w:val="font21"/>
    <w:basedOn w:val="21"/>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乙木绘本</cp:lastModifiedBy>
  <cp:lastPrinted>2023-11-07T01:59:00Z</cp:lastPrinted>
  <dcterms:modified xsi:type="dcterms:W3CDTF">2024-04-19T09:42:22Z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641C5717AECB4B549EF077C9070C4D18_13</vt:lpwstr>
  </property>
</Properties>
</file>